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7BC" w:rsidRPr="00F74689" w:rsidRDefault="00D827BC" w:rsidP="00F74689">
      <w:pPr>
        <w:spacing w:after="0" w:line="480" w:lineRule="auto"/>
        <w:jc w:val="center"/>
        <w:rPr>
          <w:rFonts w:ascii="Times New Roman" w:hAnsi="Times New Roman" w:cs="Times New Roman"/>
        </w:rPr>
      </w:pPr>
    </w:p>
    <w:p w:rsidR="00D827BC" w:rsidRPr="00F74689" w:rsidRDefault="00D827BC" w:rsidP="00F74689">
      <w:pPr>
        <w:spacing w:line="480" w:lineRule="auto"/>
        <w:rPr>
          <w:rFonts w:ascii="Times New Roman" w:hAnsi="Times New Roman" w:cs="Times New Roman"/>
        </w:rPr>
      </w:pPr>
    </w:p>
    <w:p w:rsidR="00D827BC" w:rsidRPr="00F74689" w:rsidRDefault="00D827BC" w:rsidP="00F74689">
      <w:pPr>
        <w:spacing w:line="480" w:lineRule="auto"/>
        <w:jc w:val="center"/>
        <w:rPr>
          <w:rFonts w:ascii="Times New Roman" w:hAnsi="Times New Roman" w:cs="Times New Roman"/>
        </w:rPr>
      </w:pPr>
    </w:p>
    <w:p w:rsidR="00452707" w:rsidRPr="00F74689" w:rsidRDefault="00452707" w:rsidP="00F74689">
      <w:pPr>
        <w:spacing w:line="480" w:lineRule="auto"/>
        <w:jc w:val="center"/>
        <w:rPr>
          <w:rFonts w:ascii="Times New Roman" w:hAnsi="Times New Roman" w:cs="Times New Roman"/>
        </w:rPr>
      </w:pPr>
    </w:p>
    <w:p w:rsidR="00ED4C6A"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The Role of BSN in Promoting Community Health</w:t>
      </w:r>
    </w:p>
    <w:p w:rsidR="00D827BC"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Students Name</w:t>
      </w:r>
    </w:p>
    <w:p w:rsidR="00D827BC"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Institutional Affiliation</w:t>
      </w:r>
    </w:p>
    <w:p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Course</w:t>
      </w:r>
    </w:p>
    <w:p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Professor</w:t>
      </w:r>
    </w:p>
    <w:p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Date</w:t>
      </w:r>
    </w:p>
    <w:p w:rsidR="00D827BC" w:rsidRPr="00F74689" w:rsidRDefault="00D827BC" w:rsidP="00F74689">
      <w:pPr>
        <w:spacing w:line="480" w:lineRule="auto"/>
        <w:jc w:val="center"/>
        <w:rPr>
          <w:rFonts w:ascii="Times New Roman" w:hAnsi="Times New Roman" w:cs="Times New Roman"/>
        </w:rPr>
      </w:pPr>
    </w:p>
    <w:p w:rsidR="00D827BC" w:rsidRPr="00F74689" w:rsidRDefault="00D827BC" w:rsidP="00F74689">
      <w:pPr>
        <w:spacing w:line="480" w:lineRule="auto"/>
        <w:jc w:val="center"/>
        <w:rPr>
          <w:rFonts w:ascii="Times New Roman" w:hAnsi="Times New Roman" w:cs="Times New Roman"/>
        </w:rPr>
      </w:pPr>
    </w:p>
    <w:p w:rsidR="00271800" w:rsidRPr="00F74689" w:rsidRDefault="00271800" w:rsidP="00F74689">
      <w:pPr>
        <w:spacing w:line="480" w:lineRule="auto"/>
        <w:jc w:val="center"/>
        <w:rPr>
          <w:rFonts w:ascii="Times New Roman" w:hAnsi="Times New Roman" w:cs="Times New Roman"/>
        </w:rPr>
      </w:pPr>
    </w:p>
    <w:p w:rsidR="00271800" w:rsidRPr="00F74689" w:rsidRDefault="00271800" w:rsidP="00F74689">
      <w:pPr>
        <w:spacing w:line="480" w:lineRule="auto"/>
        <w:jc w:val="center"/>
        <w:rPr>
          <w:rFonts w:ascii="Times New Roman" w:hAnsi="Times New Roman" w:cs="Times New Roman"/>
        </w:rPr>
      </w:pPr>
    </w:p>
    <w:p w:rsidR="00D827BC" w:rsidRPr="00F74689" w:rsidRDefault="00D827BC" w:rsidP="00F74689">
      <w:pPr>
        <w:spacing w:line="480" w:lineRule="auto"/>
        <w:jc w:val="center"/>
        <w:rPr>
          <w:rFonts w:ascii="Times New Roman" w:hAnsi="Times New Roman" w:cs="Times New Roman"/>
        </w:rPr>
      </w:pPr>
    </w:p>
    <w:p w:rsidR="00452707" w:rsidRPr="00F74689" w:rsidRDefault="00452707" w:rsidP="00F74689">
      <w:pPr>
        <w:spacing w:line="480" w:lineRule="auto"/>
        <w:rPr>
          <w:rFonts w:ascii="Times New Roman" w:hAnsi="Times New Roman" w:cs="Times New Roman"/>
        </w:rPr>
      </w:pPr>
    </w:p>
    <w:p w:rsidR="00ED4C6A" w:rsidRPr="00F74689" w:rsidRDefault="00ED4C6A" w:rsidP="00F74689">
      <w:pPr>
        <w:spacing w:line="480" w:lineRule="auto"/>
        <w:rPr>
          <w:rFonts w:ascii="Times New Roman" w:hAnsi="Times New Roman" w:cs="Times New Roman"/>
        </w:rPr>
      </w:pPr>
    </w:p>
    <w:p w:rsidR="00A00C2F" w:rsidRPr="00F74689" w:rsidRDefault="00044A2E" w:rsidP="00F74689">
      <w:pPr>
        <w:spacing w:line="480" w:lineRule="auto"/>
        <w:rPr>
          <w:rFonts w:ascii="Times New Roman" w:hAnsi="Times New Roman" w:cs="Times New Roman"/>
          <w:b/>
        </w:rPr>
      </w:pPr>
      <w:r w:rsidRPr="00F74689">
        <w:rPr>
          <w:rFonts w:ascii="Times New Roman" w:hAnsi="Times New Roman" w:cs="Times New Roman"/>
          <w:b/>
        </w:rPr>
        <w:br w:type="page"/>
      </w:r>
    </w:p>
    <w:p w:rsidR="00581E0F" w:rsidRPr="00F74689" w:rsidRDefault="00044A2E" w:rsidP="00F74689">
      <w:pPr>
        <w:spacing w:line="480" w:lineRule="auto"/>
        <w:jc w:val="center"/>
        <w:rPr>
          <w:rFonts w:ascii="Times New Roman" w:hAnsi="Times New Roman" w:cs="Times New Roman"/>
          <w:b/>
        </w:rPr>
      </w:pPr>
      <w:bookmarkStart w:id="0" w:name="_GoBack"/>
      <w:r w:rsidRPr="00F74689">
        <w:rPr>
          <w:rFonts w:ascii="Times New Roman" w:hAnsi="Times New Roman" w:cs="Times New Roman"/>
          <w:b/>
        </w:rPr>
        <w:lastRenderedPageBreak/>
        <w:t>The Role of BSN in Promoting Community Health</w:t>
      </w:r>
    </w:p>
    <w:bookmarkEnd w:id="0"/>
    <w:p w:rsidR="00A8576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Population increase in nations across the globe has resulted in an added number of vulnerable populations needing medical care. Consequently, new disease patterns have also emerged due to contaminated water, environmental</w:t>
      </w:r>
      <w:r w:rsidR="00B44536" w:rsidRPr="00F74689">
        <w:rPr>
          <w:rFonts w:ascii="Times New Roman" w:hAnsi="Times New Roman" w:cs="Times New Roman"/>
        </w:rPr>
        <w:t xml:space="preserve"> population, and vulnerable </w:t>
      </w:r>
      <w:r w:rsidRPr="00F74689">
        <w:rPr>
          <w:rFonts w:ascii="Times New Roman" w:hAnsi="Times New Roman" w:cs="Times New Roman"/>
        </w:rPr>
        <w:t>population</w:t>
      </w:r>
      <w:r w:rsidR="00B44536" w:rsidRPr="00F74689">
        <w:rPr>
          <w:rFonts w:ascii="Times New Roman" w:hAnsi="Times New Roman" w:cs="Times New Roman"/>
        </w:rPr>
        <w:t>s</w:t>
      </w:r>
      <w:r w:rsidRPr="00F74689">
        <w:rPr>
          <w:rFonts w:ascii="Times New Roman" w:hAnsi="Times New Roman" w:cs="Times New Roman"/>
        </w:rPr>
        <w:t xml:space="preserve">. Ideally, this has led to a shift in the way nursing practice is administered. There is an increase in emphasis channeled towards community-focused nursing, whereby the community is regarded as a client instead of an individual. Therefore, both nursing students and educators are expected to develop a new view regarding the profession. Students, for instance, need to be well developed to face the requirements of diverse populations instead of institutions. </w:t>
      </w:r>
    </w:p>
    <w:p w:rsidR="00A85ED3"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Part A</w:t>
      </w:r>
    </w:p>
    <w:tbl>
      <w:tblPr>
        <w:tblW w:w="0" w:type="auto"/>
        <w:tblCellMar>
          <w:top w:w="15" w:type="dxa"/>
          <w:left w:w="15" w:type="dxa"/>
          <w:bottom w:w="15" w:type="dxa"/>
          <w:right w:w="15" w:type="dxa"/>
        </w:tblCellMar>
        <w:tblLook w:val="04A0" w:firstRow="1" w:lastRow="0" w:firstColumn="1" w:lastColumn="0" w:noHBand="0" w:noVBand="1"/>
      </w:tblPr>
      <w:tblGrid>
        <w:gridCol w:w="1365"/>
        <w:gridCol w:w="1652"/>
        <w:gridCol w:w="1522"/>
        <w:gridCol w:w="4801"/>
      </w:tblGrid>
      <w:tr w:rsidR="00962AFF" w:rsidTr="00AF00BB">
        <w:trPr>
          <w:trHeight w:val="1029"/>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85ED3" w:rsidRPr="00F74689" w:rsidRDefault="00044A2E" w:rsidP="00F74689">
            <w:pPr>
              <w:spacing w:before="100" w:beforeAutospacing="1" w:after="100" w:afterAutospacing="1" w:line="480" w:lineRule="auto"/>
              <w:rPr>
                <w:rFonts w:ascii="Times New Roman" w:eastAsia="Times New Roman" w:hAnsi="Times New Roman" w:cs="Times New Roman"/>
              </w:rPr>
            </w:pPr>
            <w:r w:rsidRPr="00F74689">
              <w:rPr>
                <w:rFonts w:ascii="Times New Roman" w:hAnsi="Times New Roman" w:cs="Times New Roman"/>
                <w:b/>
              </w:rPr>
              <w:t>Course Overview:</w:t>
            </w:r>
            <w:r w:rsidRPr="00F74689">
              <w:rPr>
                <w:rFonts w:ascii="Times New Roman" w:eastAsia="Times New Roman" w:hAnsi="Times New Roman" w:cs="Times New Roman"/>
              </w:rPr>
              <w:t xml:space="preserve"> </w:t>
            </w:r>
            <w:r w:rsidR="00526FAE" w:rsidRPr="00526FAE">
              <w:rPr>
                <w:rFonts w:ascii="Times New Roman" w:eastAsia="Times New Roman" w:hAnsi="Times New Roman" w:cs="Times New Roman"/>
              </w:rPr>
              <w:t>This course introduces pre-baccalaureate students to public and community health nursing by exploring the roles and responsibilities of the BSN nurse. Nursing students will have the opportunity to gain knowledge on different concepts used in the administration of care. for instance, from the first week they will learn about the roles of nurses in the public domain. Thereafter the module will build on different concepts such as incorporation of ethics, into practice, caring for vulnerable populations and family and individual care challenges throughout the weeks. Additionally, different learning strategies such as role-play simulations, group discussions and one-to one instructions among other will be used to ensure participation of all students in the diverse setting. The course is a great foundation in preparing future healthcare providers.</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b/>
              </w:rPr>
            </w:pPr>
            <w:r w:rsidRPr="00F74689">
              <w:rPr>
                <w:rFonts w:ascii="Times New Roman" w:hAnsi="Times New Roman" w:cs="Times New Roman"/>
                <w:b/>
              </w:rPr>
              <w:t xml:space="preserve">Weekly Course Module Topics </w:t>
            </w:r>
            <w:r w:rsidRPr="00F74689">
              <w:rPr>
                <w:rFonts w:ascii="Times New Roman" w:hAnsi="Times New Roman" w:cs="Times New Roman"/>
              </w:rPr>
              <w:t>(</w:t>
            </w:r>
            <w:r w:rsidRPr="00F74689">
              <w:rPr>
                <w:rFonts w:ascii="Times New Roman" w:hAnsi="Times New Roman" w:cs="Times New Roman"/>
                <w:i/>
              </w:rPr>
              <w:t>8 total weeks</w:t>
            </w:r>
            <w:r w:rsidRPr="00F74689">
              <w:rPr>
                <w:rFonts w:ascii="Times New Roman" w:hAnsi="Times New Roman" w:cs="Times New Roman"/>
              </w:rPr>
              <w: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i/>
              </w:rPr>
            </w:pPr>
            <w:r w:rsidRPr="00F74689">
              <w:rPr>
                <w:rFonts w:ascii="Times New Roman" w:hAnsi="Times New Roman" w:cs="Times New Roman"/>
                <w:b/>
              </w:rPr>
              <w:t>Weekly Key Concepts</w:t>
            </w:r>
            <w:r w:rsidRPr="00F74689">
              <w:rPr>
                <w:rFonts w:ascii="Times New Roman" w:hAnsi="Times New Roman" w:cs="Times New Roman"/>
                <w:b/>
                <w:i/>
              </w:rPr>
              <w:t xml:space="preserve"> </w:t>
            </w:r>
            <w:r w:rsidRPr="00F74689">
              <w:rPr>
                <w:rFonts w:ascii="Times New Roman" w:hAnsi="Times New Roman" w:cs="Times New Roman"/>
              </w:rPr>
              <w:t>(</w:t>
            </w:r>
            <w:r w:rsidRPr="00F74689">
              <w:rPr>
                <w:rFonts w:ascii="Times New Roman" w:hAnsi="Times New Roman" w:cs="Times New Roman"/>
                <w:i/>
              </w:rPr>
              <w:t>1 concept per Week</w:t>
            </w:r>
            <w:r w:rsidRPr="00F74689">
              <w:rPr>
                <w:rFonts w:ascii="Times New Roman" w:hAnsi="Times New Roman" w:cs="Times New Roman"/>
              </w:rPr>
              <w:t>)</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b/>
              </w:rPr>
              <w:t xml:space="preserve">Evidence-Based Active Learning Strategies </w:t>
            </w:r>
            <w:r w:rsidRPr="00F74689">
              <w:rPr>
                <w:rFonts w:ascii="Times New Roman" w:hAnsi="Times New Roman" w:cs="Times New Roman"/>
              </w:rPr>
              <w:t>(</w:t>
            </w:r>
            <w:r w:rsidRPr="00F74689">
              <w:rPr>
                <w:rFonts w:ascii="Times New Roman" w:hAnsi="Times New Roman" w:cs="Times New Roman"/>
                <w:i/>
              </w:rPr>
              <w:t>1–2 strategies per Week</w:t>
            </w:r>
            <w:r w:rsidRPr="00F74689">
              <w:rPr>
                <w:rFonts w:ascii="Times New Roman" w:hAnsi="Times New Roman" w:cs="Times New Roman"/>
              </w:rPr>
              <w:t>)</w:t>
            </w:r>
          </w:p>
          <w:p w:rsidR="00A85ED3" w:rsidRPr="00F74689" w:rsidRDefault="00044A2E" w:rsidP="00526FAE">
            <w:pPr>
              <w:spacing w:line="240" w:lineRule="auto"/>
              <w:rPr>
                <w:rFonts w:ascii="Times New Roman" w:hAnsi="Times New Roman" w:cs="Times New Roman"/>
                <w:i/>
              </w:rPr>
            </w:pPr>
            <w:r w:rsidRPr="00F74689">
              <w:rPr>
                <w:rFonts w:ascii="Times New Roman" w:hAnsi="Times New Roman" w:cs="Times New Roman"/>
                <w:i/>
              </w:rPr>
              <w:t>BASTABLE 11</w:t>
            </w:r>
          </w:p>
          <w:p w:rsidR="00A85ED3" w:rsidRPr="00F74689" w:rsidRDefault="00044A2E" w:rsidP="00526FAE">
            <w:pPr>
              <w:spacing w:line="240" w:lineRule="auto"/>
              <w:rPr>
                <w:rFonts w:ascii="Times New Roman" w:hAnsi="Times New Roman" w:cs="Times New Roman"/>
                <w:i/>
              </w:rPr>
            </w:pPr>
            <w:r w:rsidRPr="00F74689">
              <w:rPr>
                <w:rFonts w:ascii="Times New Roman" w:hAnsi="Times New Roman" w:cs="Times New Roman"/>
                <w:i/>
              </w:rPr>
              <w:lastRenderedPageBreak/>
              <w:t>HASTINGS 15</w:t>
            </w:r>
          </w:p>
          <w:p w:rsidR="00A85ED3" w:rsidRPr="00F74689" w:rsidRDefault="00044A2E" w:rsidP="00526FAE">
            <w:pPr>
              <w:spacing w:line="240" w:lineRule="auto"/>
              <w:rPr>
                <w:rFonts w:ascii="Times New Roman" w:hAnsi="Times New Roman" w:cs="Times New Roman"/>
                <w:i/>
              </w:rPr>
            </w:pPr>
            <w:r w:rsidRPr="00F74689">
              <w:rPr>
                <w:rFonts w:ascii="Times New Roman" w:hAnsi="Times New Roman" w:cs="Times New Roman"/>
                <w:i/>
              </w:rPr>
              <w:t>CAN BE REPEATED ONCE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b/>
              </w:rPr>
              <w:lastRenderedPageBreak/>
              <w:t xml:space="preserve">Citation of Scholarly Sources Using APA Format </w:t>
            </w:r>
            <w:r w:rsidRPr="00F74689">
              <w:rPr>
                <w:rFonts w:ascii="Times New Roman" w:hAnsi="Times New Roman" w:cs="Times New Roman"/>
              </w:rPr>
              <w:t>(at least</w:t>
            </w:r>
            <w:r w:rsidRPr="00F74689">
              <w:rPr>
                <w:rFonts w:ascii="Times New Roman" w:hAnsi="Times New Roman" w:cs="Times New Roman"/>
                <w:i/>
              </w:rPr>
              <w:t xml:space="preserve"> one citation per strategy per Week</w:t>
            </w:r>
            <w:r w:rsidRPr="00F74689">
              <w:rPr>
                <w:rFonts w:ascii="Times New Roman" w:hAnsi="Times New Roman" w:cs="Times New Roman"/>
              </w:rPr>
              <w:t>)</w:t>
            </w:r>
          </w:p>
          <w:p w:rsidR="00A85ED3" w:rsidRPr="00F74689" w:rsidRDefault="00044A2E" w:rsidP="00526FAE">
            <w:pPr>
              <w:spacing w:line="240" w:lineRule="auto"/>
              <w:rPr>
                <w:rFonts w:ascii="Times New Roman" w:hAnsi="Times New Roman" w:cs="Times New Roman"/>
                <w:b/>
              </w:rPr>
            </w:pPr>
            <w:r w:rsidRPr="00F74689">
              <w:rPr>
                <w:rFonts w:ascii="Times New Roman" w:hAnsi="Times New Roman" w:cs="Times New Roman"/>
                <w:b/>
              </w:rPr>
              <w:t>CAN BE REPEATED ONCE</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lastRenderedPageBreak/>
              <w:t xml:space="preserve">1. Introduction to Community Health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 xml:space="preserve">Describe the role of the public health nurse and how the role influences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Ice breaker</w:t>
            </w:r>
          </w:p>
          <w:p w:rsidR="00A85ED3" w:rsidRPr="00F74689" w:rsidRDefault="00A85ED3" w:rsidP="00526FAE">
            <w:pPr>
              <w:spacing w:line="240" w:lineRule="auto"/>
              <w:rPr>
                <w:rFonts w:ascii="Times New Roman" w:hAnsi="Times New Roman" w:cs="Times New Roman"/>
              </w:rPr>
            </w:pPr>
          </w:p>
          <w:p w:rsidR="00A85ED3" w:rsidRPr="00F74689" w:rsidRDefault="00A85ED3" w:rsidP="00526FAE">
            <w:pPr>
              <w:spacing w:line="240" w:lineRule="auto"/>
              <w:rPr>
                <w:rFonts w:ascii="Times New Roman" w:hAnsi="Times New Roman" w:cs="Times New Roman"/>
              </w:rPr>
            </w:pP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color w:val="222222"/>
                <w:shd w:val="clear" w:color="auto" w:fill="FFFFFF"/>
              </w:rPr>
              <w:t>Morrison-Beedy, D., &amp; Côté-Arsenault, D. (2000). The cookie experiment revisited: broadened dimensions for teaching nursing research. </w:t>
            </w:r>
            <w:r w:rsidRPr="00F74689">
              <w:rPr>
                <w:rFonts w:ascii="Times New Roman" w:hAnsi="Times New Roman" w:cs="Times New Roman"/>
                <w:i/>
                <w:iCs/>
                <w:color w:val="222222"/>
                <w:shd w:val="clear" w:color="auto" w:fill="FFFFFF"/>
              </w:rPr>
              <w:t>Nurse Educator</w:t>
            </w:r>
            <w:r w:rsidRPr="00F74689">
              <w:rPr>
                <w:rFonts w:ascii="Times New Roman" w:hAnsi="Times New Roman" w:cs="Times New Roman"/>
                <w:color w:val="222222"/>
                <w:shd w:val="clear" w:color="auto" w:fill="FFFFFF"/>
              </w:rPr>
              <w:t>, </w:t>
            </w:r>
            <w:r w:rsidRPr="00F74689">
              <w:rPr>
                <w:rFonts w:ascii="Times New Roman" w:hAnsi="Times New Roman" w:cs="Times New Roman"/>
                <w:i/>
                <w:iCs/>
                <w:color w:val="222222"/>
                <w:shd w:val="clear" w:color="auto" w:fill="FFFFFF"/>
              </w:rPr>
              <w:t>25</w:t>
            </w:r>
            <w:r w:rsidRPr="00F74689">
              <w:rPr>
                <w:rFonts w:ascii="Times New Roman" w:hAnsi="Times New Roman" w:cs="Times New Roman"/>
                <w:color w:val="222222"/>
                <w:shd w:val="clear" w:color="auto" w:fill="FFFFFF"/>
              </w:rPr>
              <w:t>(6), 294-296.</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2. Vulnerable Population</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Investigate how public policies affect vulnerable populations and how community health nursing can reduce health disparities in these groups.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Lecture</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shd w:val="clear" w:color="auto" w:fill="FFFFFF"/>
              </w:rPr>
              <w:t xml:space="preserve">Aprita, Y., &amp; Sari, A. (2016). </w:t>
            </w:r>
            <w:r w:rsidR="00A00C2F" w:rsidRPr="00F74689">
              <w:rPr>
                <w:rFonts w:ascii="Times New Roman" w:hAnsi="Times New Roman" w:cs="Times New Roman"/>
                <w:shd w:val="clear" w:color="auto" w:fill="FFFFFF"/>
              </w:rPr>
              <w:t>Improving students’ motivation of learning using blended learning strategy facilitated with Vark learning style model.</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Jurnal Pendidikan Akuntansi Indonesia</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12</w:t>
            </w:r>
            <w:r w:rsidRPr="00F74689">
              <w:rPr>
                <w:rFonts w:ascii="Times New Roman" w:hAnsi="Times New Roman" w:cs="Times New Roman"/>
                <w:shd w:val="clear" w:color="auto" w:fill="FFFFFF"/>
              </w:rPr>
              <w:t>(2). https://doi.org/10.21831/jpai.v12i2.2705</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3.</w:t>
            </w:r>
            <w:r w:rsidRPr="00F74689">
              <w:rPr>
                <w:b/>
                <w:bCs/>
                <w:sz w:val="22"/>
                <w:szCs w:val="22"/>
              </w:rPr>
              <w:t xml:space="preserve"> </w:t>
            </w:r>
            <w:r w:rsidRPr="00F74689">
              <w:rPr>
                <w:sz w:val="22"/>
                <w:szCs w:val="22"/>
              </w:rPr>
              <w:t>Family and Individual Health Care Issues</w:t>
            </w:r>
          </w:p>
          <w:p w:rsidR="00A85ED3" w:rsidRPr="00F74689" w:rsidRDefault="00A85ED3" w:rsidP="00526FAE">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Apply nursing process (assessment, planning, implementation, evaluation) to reduce family health risks and promote family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Group Discussion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shd w:val="clear" w:color="auto" w:fill="FFFFFF"/>
              </w:rPr>
              <w:t xml:space="preserve">Hukom, S. (2020). </w:t>
            </w:r>
            <w:r w:rsidR="00A00C2F" w:rsidRPr="00F74689">
              <w:rPr>
                <w:rFonts w:ascii="Times New Roman" w:hAnsi="Times New Roman" w:cs="Times New Roman"/>
                <w:shd w:val="clear" w:color="auto" w:fill="FFFFFF"/>
              </w:rPr>
              <w:t>The use of small group discussion strategy in teaching writing</w:t>
            </w:r>
            <w:r w:rsidRPr="00F74689">
              <w:rPr>
                <w:rFonts w:ascii="Times New Roman" w:hAnsi="Times New Roman" w:cs="Times New Roman"/>
                <w:shd w:val="clear" w:color="auto" w:fill="FFFFFF"/>
              </w:rPr>
              <w:t>. </w:t>
            </w:r>
            <w:r w:rsidR="00A00C2F" w:rsidRPr="00F74689">
              <w:rPr>
                <w:rFonts w:ascii="Times New Roman" w:hAnsi="Times New Roman" w:cs="Times New Roman"/>
                <w:i/>
                <w:iCs/>
                <w:shd w:val="clear" w:color="auto" w:fill="FFFFFF"/>
              </w:rPr>
              <w:t>Jurnal Tahuri</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17</w:t>
            </w:r>
            <w:r w:rsidRPr="00F74689">
              <w:rPr>
                <w:rFonts w:ascii="Times New Roman" w:hAnsi="Times New Roman" w:cs="Times New Roman"/>
                <w:shd w:val="clear" w:color="auto" w:fill="FFFFFF"/>
              </w:rPr>
              <w:t>(2), 63-71. https://doi.org/10.30598/tahurivol17issue2page63-71</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4. Disaster Management</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Describe the scope of practice, roles, and functions of a community health nurse while working with other organizations such as the American Red Cross to prepare for, respond to, and recover from disasters.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Role-playing simulations</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Schick, L. (2020). Breaking frame in a role-play simulation: A language socialization perspective. </w:t>
            </w:r>
            <w:r w:rsidRPr="00F74689">
              <w:rPr>
                <w:rFonts w:ascii="Times New Roman" w:hAnsi="Times New Roman" w:cs="Times New Roman"/>
                <w:i/>
                <w:iCs/>
                <w:shd w:val="clear" w:color="auto" w:fill="FFFFFF"/>
              </w:rPr>
              <w:t>Simulation &amp; Gaming</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39</w:t>
            </w:r>
            <w:r w:rsidRPr="00F74689">
              <w:rPr>
                <w:rFonts w:ascii="Times New Roman" w:hAnsi="Times New Roman" w:cs="Times New Roman"/>
                <w:shd w:val="clear" w:color="auto" w:fill="FFFFFF"/>
              </w:rPr>
              <w:t xml:space="preserve">(2), 184-197. </w:t>
            </w:r>
            <w:hyperlink r:id="rId8" w:history="1">
              <w:r w:rsidRPr="00F74689">
                <w:rPr>
                  <w:rStyle w:val="Hyperlink"/>
                  <w:rFonts w:ascii="Times New Roman" w:hAnsi="Times New Roman" w:cs="Times New Roman"/>
                  <w:color w:val="auto"/>
                  <w:shd w:val="clear" w:color="auto" w:fill="FFFFFF"/>
                </w:rPr>
                <w:t>https://doi.org/10.1177/1046878107310607</w:t>
              </w:r>
            </w:hyperlink>
          </w:p>
          <w:p w:rsidR="00A85ED3" w:rsidRPr="00F74689" w:rsidRDefault="00A85ED3" w:rsidP="00526FAE">
            <w:pPr>
              <w:spacing w:line="240" w:lineRule="auto"/>
              <w:rPr>
                <w:rFonts w:ascii="Times New Roman" w:hAnsi="Times New Roman" w:cs="Times New Roman"/>
              </w:rPr>
            </w:pP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5.</w:t>
            </w:r>
            <w:r w:rsidRPr="00F74689">
              <w:rPr>
                <w:b/>
                <w:bCs/>
                <w:sz w:val="22"/>
                <w:szCs w:val="22"/>
              </w:rPr>
              <w:t xml:space="preserve"> </w:t>
            </w:r>
            <w:r w:rsidRPr="00F74689">
              <w:rPr>
                <w:sz w:val="22"/>
                <w:szCs w:val="22"/>
              </w:rPr>
              <w:t>Theoretical Frameworks Applied to Nursing Practice in the Community</w:t>
            </w:r>
            <w:r w:rsidRPr="00F74689">
              <w:rPr>
                <w:b/>
                <w:bCs/>
                <w:sz w:val="22"/>
                <w:szCs w:val="22"/>
              </w:rPr>
              <w:t xml:space="preserve">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Discuss how community health nurses use epidemiology in practice.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One-to-one instruction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shd w:val="clear" w:color="auto" w:fill="FFFFFF"/>
              </w:rPr>
              <w:t>James, N. (2018). Using narrative inquiry to explore the experience of one ethnically diverse ESL nursing student. teaching and learning in nursing, 13(1), 35-40. https://doi.org/10.1016/j.teln.2017.08.002</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6.</w:t>
            </w:r>
            <w:r w:rsidRPr="00F74689">
              <w:rPr>
                <w:b/>
                <w:bCs/>
                <w:sz w:val="22"/>
                <w:szCs w:val="22"/>
              </w:rPr>
              <w:t xml:space="preserve"> </w:t>
            </w:r>
            <w:r w:rsidRPr="00F74689">
              <w:rPr>
                <w:sz w:val="22"/>
                <w:szCs w:val="22"/>
              </w:rPr>
              <w:t xml:space="preserve">Influences on Health Care Delivery and Nursing </w:t>
            </w:r>
          </w:p>
          <w:p w:rsidR="00A85ED3" w:rsidRPr="00F74689" w:rsidRDefault="00A85ED3" w:rsidP="00526FAE">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Describe how ethics is part of the core functions of nursing in community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Demonstration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shd w:val="clear" w:color="auto" w:fill="FFFFFF"/>
              </w:rPr>
              <w:t>Sheldon, P. (2017). Successful Intermittent Self-Catheterization Teaching: One Nurse's Strategy of How and What to Teach. Urologic Nursing, 33(3), 113. https://doi.org/10.7257/1053-816x.2013.33.3.113</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7.</w:t>
            </w:r>
            <w:r w:rsidRPr="00F74689">
              <w:rPr>
                <w:b/>
                <w:bCs/>
                <w:sz w:val="22"/>
                <w:szCs w:val="22"/>
              </w:rPr>
              <w:t xml:space="preserve"> </w:t>
            </w:r>
            <w:r w:rsidRPr="00F74689">
              <w:rPr>
                <w:sz w:val="22"/>
                <w:szCs w:val="22"/>
              </w:rPr>
              <w:t xml:space="preserve">Nursing Practice in the Community: Roles and Functions </w:t>
            </w:r>
          </w:p>
          <w:p w:rsidR="00A85ED3" w:rsidRPr="00F74689" w:rsidRDefault="00A85ED3" w:rsidP="00526FAE">
            <w:pPr>
              <w:spacing w:line="240" w:lineRule="auto"/>
              <w:rPr>
                <w:rFonts w:ascii="Times New Roman" w:hAnsi="Times New Roman" w:cs="Times New Roman"/>
              </w:rPr>
            </w:pP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Identify educational preparation of public health nurses and competencies necessary to practice in the various roles in the parish, home health, hospice, schools and occupational health.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Return demonstration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shd w:val="clear" w:color="auto" w:fill="FFFFFF"/>
              </w:rPr>
              <w:t>Jr., R. (2018). On Teaching Sampling: A Classroom Demonstration of Concepts, Principles, and Techniques. Teaching Sociology, 17(3), 351. https://doi.org/10.2307/1318084</w:t>
            </w:r>
          </w:p>
        </w:tc>
      </w:tr>
      <w:tr w:rsidR="00962AFF" w:rsidTr="00AF00BB">
        <w:trPr>
          <w:trHeight w:val="1029"/>
        </w:trPr>
        <w:tc>
          <w:tcPr>
            <w:tcW w:w="16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 xml:space="preserve">8. Program and Quality Management </w:t>
            </w:r>
          </w:p>
        </w:tc>
        <w:tc>
          <w:tcPr>
            <w:tcW w:w="17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pStyle w:val="NormalWeb"/>
              <w:rPr>
                <w:sz w:val="22"/>
                <w:szCs w:val="22"/>
              </w:rPr>
            </w:pPr>
            <w:r w:rsidRPr="00F74689">
              <w:rPr>
                <w:sz w:val="22"/>
                <w:szCs w:val="22"/>
              </w:rPr>
              <w:t xml:space="preserve">Demonstrate understanding of the components of program evaluation and application to the nursing process. </w:t>
            </w:r>
          </w:p>
        </w:tc>
        <w:tc>
          <w:tcPr>
            <w:tcW w:w="1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rPr>
              <w:t>Role-Play Simulation</w:t>
            </w:r>
          </w:p>
        </w:tc>
        <w:tc>
          <w:tcPr>
            <w:tcW w:w="4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85ED3" w:rsidRPr="00F74689" w:rsidRDefault="00044A2E" w:rsidP="00526FAE">
            <w:pPr>
              <w:spacing w:line="240" w:lineRule="auto"/>
              <w:rPr>
                <w:rFonts w:ascii="Times New Roman" w:hAnsi="Times New Roman" w:cs="Times New Roman"/>
              </w:rPr>
            </w:pPr>
            <w:r w:rsidRPr="00F74689">
              <w:rPr>
                <w:rFonts w:ascii="Times New Roman" w:hAnsi="Times New Roman" w:cs="Times New Roman"/>
                <w:color w:val="000000"/>
                <w:shd w:val="clear" w:color="auto" w:fill="FFFFFF"/>
              </w:rPr>
              <w:t>Ali, L., Shabaan, F., &amp; Gad, R. (2019). Efficacy of Teaching Program About Efficient Patient Communication Using Role-play Strategy on Technical Nursing Students’ Practice. </w:t>
            </w:r>
            <w:r w:rsidRPr="00F74689">
              <w:rPr>
                <w:rFonts w:ascii="Times New Roman" w:hAnsi="Times New Roman" w:cs="Times New Roman"/>
                <w:i/>
                <w:iCs/>
                <w:color w:val="000000"/>
                <w:shd w:val="clear" w:color="auto" w:fill="FFFFFF"/>
              </w:rPr>
              <w:t>Tanta Scientific Nursing Journal</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17</w:t>
            </w:r>
            <w:r w:rsidRPr="00F74689">
              <w:rPr>
                <w:rFonts w:ascii="Times New Roman" w:hAnsi="Times New Roman" w:cs="Times New Roman"/>
                <w:color w:val="000000"/>
                <w:shd w:val="clear" w:color="auto" w:fill="FFFFFF"/>
              </w:rPr>
              <w:t>(2), 58-98. https://doi.org/10.21608/tsnj.2019.71519</w:t>
            </w:r>
          </w:p>
        </w:tc>
      </w:tr>
    </w:tbl>
    <w:p w:rsidR="00A85ED3" w:rsidRPr="00F74689" w:rsidRDefault="00A85ED3" w:rsidP="00F74689">
      <w:pPr>
        <w:spacing w:line="480" w:lineRule="auto"/>
        <w:rPr>
          <w:rFonts w:ascii="Times New Roman" w:hAnsi="Times New Roman" w:cs="Times New Roman"/>
        </w:rPr>
      </w:pPr>
    </w:p>
    <w:p w:rsidR="00BF636C"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Part B</w:t>
      </w:r>
      <w:r w:rsidR="00526FAE">
        <w:rPr>
          <w:rFonts w:ascii="Times New Roman" w:hAnsi="Times New Roman" w:cs="Times New Roman"/>
          <w:b/>
        </w:rPr>
        <w:t xml:space="preserve">- </w:t>
      </w:r>
      <w:r w:rsidR="007F4453">
        <w:rPr>
          <w:rFonts w:ascii="Times New Roman" w:hAnsi="Times New Roman" w:cs="Times New Roman"/>
          <w:b/>
        </w:rPr>
        <w:t>Aspects of the Course</w:t>
      </w:r>
    </w:p>
    <w:p w:rsidR="00BF636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The learner is likely to benefit from the course in different ways. For instance, one will identify the type of healthcare decisions made by individual community members. Also, learners will understand the basis and process behind decision-making and guide a bet</w:t>
      </w:r>
      <w:r w:rsidR="00B44536" w:rsidRPr="00F74689">
        <w:rPr>
          <w:rFonts w:ascii="Times New Roman" w:hAnsi="Times New Roman" w:cs="Times New Roman"/>
        </w:rPr>
        <w:t>ter decision-making process. Through the module, students will guide community members in making better health decisions. Hence,</w:t>
      </w:r>
      <w:r w:rsidRPr="00F74689">
        <w:rPr>
          <w:rFonts w:ascii="Times New Roman" w:hAnsi="Times New Roman" w:cs="Times New Roman"/>
        </w:rPr>
        <w:t xml:space="preserve"> students will develop a strategic plan that </w:t>
      </w:r>
      <w:r w:rsidR="00B44536" w:rsidRPr="00F74689">
        <w:rPr>
          <w:rFonts w:ascii="Times New Roman" w:hAnsi="Times New Roman" w:cs="Times New Roman"/>
        </w:rPr>
        <w:t>service users</w:t>
      </w:r>
      <w:r w:rsidRPr="00F74689">
        <w:rPr>
          <w:rFonts w:ascii="Times New Roman" w:hAnsi="Times New Roman" w:cs="Times New Roman"/>
        </w:rPr>
        <w:t xml:space="preserve"> can utilize to achieve better care standards. </w:t>
      </w:r>
    </w:p>
    <w:p w:rsidR="00AC6F5C"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class concepts begin by talking about the roles and responsibilities of the nurses. After that, they will learn more concepts such as projects management, caring for vulnerable populations, and incorporating ethics into care, among other topics. Learners will understand the importance of treating people with dignity and how they can support patients and their families as community health nurses. The principles learned in the 8-week module will help equip the knowledge and skills for future healthcare providers. </w:t>
      </w:r>
    </w:p>
    <w:p w:rsidR="007F4453" w:rsidRDefault="007F4453" w:rsidP="00F74689">
      <w:pPr>
        <w:spacing w:line="480" w:lineRule="auto"/>
        <w:ind w:firstLine="720"/>
        <w:jc w:val="both"/>
        <w:rPr>
          <w:rFonts w:ascii="Times New Roman" w:hAnsi="Times New Roman" w:cs="Times New Roman"/>
        </w:rPr>
      </w:pPr>
      <w:r>
        <w:rPr>
          <w:rFonts w:ascii="Times New Roman" w:hAnsi="Times New Roman" w:cs="Times New Roman"/>
        </w:rPr>
        <w:t xml:space="preserve">Specific concepts outlined in the course will enhance </w:t>
      </w:r>
      <w:r w:rsidR="002F66AB">
        <w:rPr>
          <w:rFonts w:ascii="Times New Roman" w:hAnsi="Times New Roman" w:cs="Times New Roman"/>
        </w:rPr>
        <w:t>assessments</w:t>
      </w:r>
      <w:r>
        <w:rPr>
          <w:rFonts w:ascii="Times New Roman" w:hAnsi="Times New Roman" w:cs="Times New Roman"/>
        </w:rPr>
        <w:t xml:space="preserve"> skills, identify health </w:t>
      </w:r>
      <w:r w:rsidR="002F66AB">
        <w:rPr>
          <w:rFonts w:ascii="Times New Roman" w:hAnsi="Times New Roman" w:cs="Times New Roman"/>
        </w:rPr>
        <w:t>disparities</w:t>
      </w:r>
      <w:r>
        <w:rPr>
          <w:rFonts w:ascii="Times New Roman" w:hAnsi="Times New Roman" w:cs="Times New Roman"/>
        </w:rPr>
        <w:t xml:space="preserve"> within the community </w:t>
      </w:r>
      <w:r w:rsidR="002F66AB">
        <w:rPr>
          <w:rFonts w:ascii="Times New Roman" w:hAnsi="Times New Roman" w:cs="Times New Roman"/>
        </w:rPr>
        <w:t>setting as</w:t>
      </w:r>
      <w:r>
        <w:rPr>
          <w:rFonts w:ascii="Times New Roman" w:hAnsi="Times New Roman" w:cs="Times New Roman"/>
        </w:rPr>
        <w:t xml:space="preserve"> well utilize resources for patients and their families. The community health </w:t>
      </w:r>
      <w:r w:rsidR="002F66AB">
        <w:rPr>
          <w:rFonts w:ascii="Times New Roman" w:hAnsi="Times New Roman" w:cs="Times New Roman"/>
        </w:rPr>
        <w:t>course</w:t>
      </w:r>
      <w:r>
        <w:rPr>
          <w:rFonts w:ascii="Times New Roman" w:hAnsi="Times New Roman" w:cs="Times New Roman"/>
        </w:rPr>
        <w:t xml:space="preserve"> is relevant in nursing profession as students will be able to gain experience from class </w:t>
      </w:r>
      <w:r w:rsidR="002F66AB">
        <w:rPr>
          <w:rFonts w:ascii="Times New Roman" w:hAnsi="Times New Roman" w:cs="Times New Roman"/>
        </w:rPr>
        <w:t>demonstrations</w:t>
      </w:r>
      <w:r>
        <w:rPr>
          <w:rFonts w:ascii="Times New Roman" w:hAnsi="Times New Roman" w:cs="Times New Roman"/>
        </w:rPr>
        <w:t xml:space="preserve">. Using research and simulations will ensure active </w:t>
      </w:r>
      <w:r w:rsidR="002F66AB">
        <w:rPr>
          <w:rFonts w:ascii="Times New Roman" w:hAnsi="Times New Roman" w:cs="Times New Roman"/>
        </w:rPr>
        <w:t>learning</w:t>
      </w:r>
      <w:r>
        <w:rPr>
          <w:rFonts w:ascii="Times New Roman" w:hAnsi="Times New Roman" w:cs="Times New Roman"/>
        </w:rPr>
        <w:t xml:space="preserve"> of the students. Additionally, the knowledge obtained can be used outside classroom to assist community members and their </w:t>
      </w:r>
      <w:r w:rsidR="002F66AB">
        <w:rPr>
          <w:rFonts w:ascii="Times New Roman" w:hAnsi="Times New Roman" w:cs="Times New Roman"/>
        </w:rPr>
        <w:t>families</w:t>
      </w:r>
      <w:r>
        <w:rPr>
          <w:rFonts w:ascii="Times New Roman" w:hAnsi="Times New Roman" w:cs="Times New Roman"/>
        </w:rPr>
        <w:t xml:space="preserve">. </w:t>
      </w:r>
    </w:p>
    <w:p w:rsidR="007F4453" w:rsidRPr="002F66AB" w:rsidRDefault="007F4453" w:rsidP="002F66AB">
      <w:pPr>
        <w:spacing w:line="480" w:lineRule="auto"/>
        <w:jc w:val="center"/>
        <w:rPr>
          <w:rFonts w:ascii="Times New Roman" w:hAnsi="Times New Roman" w:cs="Times New Roman"/>
          <w:b/>
        </w:rPr>
      </w:pPr>
      <w:r w:rsidRPr="002F66AB">
        <w:rPr>
          <w:rFonts w:ascii="Times New Roman" w:hAnsi="Times New Roman" w:cs="Times New Roman"/>
          <w:b/>
        </w:rPr>
        <w:t>Cultivation of the Course</w:t>
      </w:r>
    </w:p>
    <w:p w:rsidR="007F4453" w:rsidRPr="00F74689" w:rsidRDefault="007F4453" w:rsidP="002F66AB">
      <w:pPr>
        <w:spacing w:line="480" w:lineRule="auto"/>
        <w:ind w:firstLine="720"/>
        <w:jc w:val="both"/>
        <w:rPr>
          <w:rFonts w:ascii="Times New Roman" w:hAnsi="Times New Roman" w:cs="Times New Roman"/>
        </w:rPr>
      </w:pPr>
      <w:r>
        <w:rPr>
          <w:rFonts w:ascii="Times New Roman" w:hAnsi="Times New Roman" w:cs="Times New Roman"/>
        </w:rPr>
        <w:t xml:space="preserve">The </w:t>
      </w:r>
      <w:r w:rsidR="002F66AB">
        <w:rPr>
          <w:rFonts w:ascii="Times New Roman" w:hAnsi="Times New Roman" w:cs="Times New Roman"/>
        </w:rPr>
        <w:t>8-week</w:t>
      </w:r>
      <w:r>
        <w:rPr>
          <w:rFonts w:ascii="Times New Roman" w:hAnsi="Times New Roman" w:cs="Times New Roman"/>
        </w:rPr>
        <w:t xml:space="preserve"> community course modules </w:t>
      </w:r>
      <w:r w:rsidR="002F66AB">
        <w:rPr>
          <w:rFonts w:ascii="Times New Roman" w:hAnsi="Times New Roman" w:cs="Times New Roman"/>
        </w:rPr>
        <w:t>provide</w:t>
      </w:r>
      <w:r>
        <w:rPr>
          <w:rFonts w:ascii="Times New Roman" w:hAnsi="Times New Roman" w:cs="Times New Roman"/>
        </w:rPr>
        <w:t xml:space="preserve"> a foundation for the </w:t>
      </w:r>
      <w:r w:rsidR="002F66AB">
        <w:rPr>
          <w:rFonts w:ascii="Times New Roman" w:hAnsi="Times New Roman" w:cs="Times New Roman"/>
        </w:rPr>
        <w:t>student’s</w:t>
      </w:r>
      <w:r>
        <w:rPr>
          <w:rFonts w:ascii="Times New Roman" w:hAnsi="Times New Roman" w:cs="Times New Roman"/>
        </w:rPr>
        <w:t xml:space="preserve"> career. The course starts with an introduction of the roles of community healthcare nurses. From there, </w:t>
      </w:r>
      <w:r w:rsidR="002F66AB">
        <w:rPr>
          <w:rFonts w:ascii="Times New Roman" w:hAnsi="Times New Roman" w:cs="Times New Roman"/>
        </w:rPr>
        <w:t>learners</w:t>
      </w:r>
      <w:r>
        <w:rPr>
          <w:rFonts w:ascii="Times New Roman" w:hAnsi="Times New Roman" w:cs="Times New Roman"/>
        </w:rPr>
        <w:t xml:space="preserve"> will </w:t>
      </w:r>
      <w:r w:rsidR="002F66AB">
        <w:rPr>
          <w:rFonts w:ascii="Times New Roman" w:hAnsi="Times New Roman" w:cs="Times New Roman"/>
        </w:rPr>
        <w:t>learn</w:t>
      </w:r>
      <w:r>
        <w:rPr>
          <w:rFonts w:ascii="Times New Roman" w:hAnsi="Times New Roman" w:cs="Times New Roman"/>
        </w:rPr>
        <w:t xml:space="preserve"> different </w:t>
      </w:r>
      <w:r w:rsidR="002F66AB">
        <w:rPr>
          <w:rFonts w:ascii="Times New Roman" w:hAnsi="Times New Roman" w:cs="Times New Roman"/>
        </w:rPr>
        <w:t>aspects</w:t>
      </w:r>
      <w:r>
        <w:rPr>
          <w:rFonts w:ascii="Times New Roman" w:hAnsi="Times New Roman" w:cs="Times New Roman"/>
        </w:rPr>
        <w:t xml:space="preserve"> that must be </w:t>
      </w:r>
      <w:r w:rsidR="002F66AB">
        <w:rPr>
          <w:rFonts w:ascii="Times New Roman" w:hAnsi="Times New Roman" w:cs="Times New Roman"/>
        </w:rPr>
        <w:t>considered</w:t>
      </w:r>
      <w:r>
        <w:rPr>
          <w:rFonts w:ascii="Times New Roman" w:hAnsi="Times New Roman" w:cs="Times New Roman"/>
        </w:rPr>
        <w:t xml:space="preserve"> during practice. Knowledge obtained from topics such as working with </w:t>
      </w:r>
      <w:r w:rsidR="002F66AB">
        <w:rPr>
          <w:rFonts w:ascii="Times New Roman" w:hAnsi="Times New Roman" w:cs="Times New Roman"/>
        </w:rPr>
        <w:t>vulnerable</w:t>
      </w:r>
      <w:r>
        <w:rPr>
          <w:rFonts w:ascii="Times New Roman" w:hAnsi="Times New Roman" w:cs="Times New Roman"/>
        </w:rPr>
        <w:t xml:space="preserve"> populations will cause the </w:t>
      </w:r>
      <w:r w:rsidR="002F66AB">
        <w:rPr>
          <w:rFonts w:ascii="Times New Roman" w:hAnsi="Times New Roman" w:cs="Times New Roman"/>
        </w:rPr>
        <w:t>learners</w:t>
      </w:r>
      <w:r>
        <w:rPr>
          <w:rFonts w:ascii="Times New Roman" w:hAnsi="Times New Roman" w:cs="Times New Roman"/>
        </w:rPr>
        <w:t xml:space="preserve"> to foster and promote health in the community levels. The course will </w:t>
      </w:r>
      <w:r w:rsidR="002F66AB">
        <w:rPr>
          <w:rFonts w:ascii="Times New Roman" w:hAnsi="Times New Roman" w:cs="Times New Roman"/>
        </w:rPr>
        <w:t>also</w:t>
      </w:r>
      <w:r>
        <w:rPr>
          <w:rFonts w:ascii="Times New Roman" w:hAnsi="Times New Roman" w:cs="Times New Roman"/>
        </w:rPr>
        <w:t xml:space="preserve"> address ethics and its role in care. here </w:t>
      </w:r>
      <w:r w:rsidR="002F66AB">
        <w:rPr>
          <w:rFonts w:ascii="Times New Roman" w:hAnsi="Times New Roman" w:cs="Times New Roman"/>
        </w:rPr>
        <w:t>learners will gain knowledge</w:t>
      </w:r>
      <w:r>
        <w:rPr>
          <w:rFonts w:ascii="Times New Roman" w:hAnsi="Times New Roman" w:cs="Times New Roman"/>
        </w:rPr>
        <w:t xml:space="preserve"> on appropriate care standards while attending to the service users. </w:t>
      </w:r>
      <w:r w:rsidR="002F66AB">
        <w:rPr>
          <w:rFonts w:ascii="Times New Roman" w:hAnsi="Times New Roman" w:cs="Times New Roman"/>
        </w:rPr>
        <w:t>A</w:t>
      </w:r>
      <w:r>
        <w:rPr>
          <w:rFonts w:ascii="Times New Roman" w:hAnsi="Times New Roman" w:cs="Times New Roman"/>
        </w:rPr>
        <w:t>dditionally</w:t>
      </w:r>
      <w:r w:rsidR="002F66AB">
        <w:rPr>
          <w:rFonts w:ascii="Times New Roman" w:hAnsi="Times New Roman" w:cs="Times New Roman"/>
        </w:rPr>
        <w:t xml:space="preserve">, they will also have an opportunity to incorporate epidemiological practice in care. during the last week of the course, learners will have an opportunity to evaluate and apply nursing process based on the concepts taught in the course of the week.  The course will create a background knowledge that learners can use as they advance in their career. </w:t>
      </w:r>
    </w:p>
    <w:p w:rsidR="00BF636C"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Student-Centered Learning</w:t>
      </w:r>
    </w:p>
    <w:p w:rsidR="00426AFD"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Student-centered learning will be utilized to enhance the knowledge and skills of the learners. Besides, this type of learning is mainly focused on the needs of the learners. Throughout the eight weeks, students will have the opportunity to engage and participate in different community-based activities. For instance, the first Week will be an ice breaker. Here, the students will have an opportunity to interact with their peers and teacher. Additionally, the ice breaker session will help clarify any individual judgments that can potentially affect students in the overall assessments.  In the 2</w:t>
      </w:r>
      <w:r w:rsidRPr="00F74689">
        <w:rPr>
          <w:rFonts w:ascii="Times New Roman" w:hAnsi="Times New Roman" w:cs="Times New Roman"/>
          <w:vertAlign w:val="superscript"/>
        </w:rPr>
        <w:t>nd</w:t>
      </w:r>
      <w:r w:rsidRPr="00F74689">
        <w:rPr>
          <w:rFonts w:ascii="Times New Roman" w:hAnsi="Times New Roman" w:cs="Times New Roman"/>
        </w:rPr>
        <w:t xml:space="preserve"> Week, we will dive into lectures, whereby we will talk about vulnerable populations. In week 3, we will discuss family and individual care issues that can hinder proper care administration. During the Week, students will participate in discussion groups of five members. Therefore, they will be able to come up with a list of events that identify health disparities issues among patients and families. Besides, group projects are an excellent strategy for engaging students in research and learning through teaching their classmates. Additionally, the strategy helps to establish reinforcement towards the stated topic. The 4</w:t>
      </w:r>
      <w:r w:rsidRPr="00F74689">
        <w:rPr>
          <w:rFonts w:ascii="Times New Roman" w:hAnsi="Times New Roman" w:cs="Times New Roman"/>
          <w:vertAlign w:val="superscript"/>
        </w:rPr>
        <w:t>th</w:t>
      </w:r>
      <w:r w:rsidRPr="00F74689">
        <w:rPr>
          <w:rFonts w:ascii="Times New Roman" w:hAnsi="Times New Roman" w:cs="Times New Roman"/>
        </w:rPr>
        <w:t xml:space="preserve"> Week was about disaster management. Here, I incorporated role-play simulations where students took turns being community nurses, community members, and red-cross personnel in responding to situations that pertain to g disaster in the community. Using the strategy made the student connect on how they can partner with other organizations in caring for their community. </w:t>
      </w:r>
    </w:p>
    <w:p w:rsidR="00426AFD"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In the 5</w:t>
      </w:r>
      <w:r w:rsidRPr="00F74689">
        <w:rPr>
          <w:rFonts w:ascii="Times New Roman" w:hAnsi="Times New Roman" w:cs="Times New Roman"/>
          <w:vertAlign w:val="superscript"/>
        </w:rPr>
        <w:t>th</w:t>
      </w:r>
      <w:r w:rsidRPr="00F74689">
        <w:rPr>
          <w:rFonts w:ascii="Times New Roman" w:hAnsi="Times New Roman" w:cs="Times New Roman"/>
        </w:rPr>
        <w:t xml:space="preserve"> Week, discuss how community and health nurses use epidemiological evidence in practice. We will be using the one-to-one instructions in guiding students on what is expected of them through the whole Week. Here they will obtain instructions on assignments that they need to tackle after classes. In the 6</w:t>
      </w:r>
      <w:r w:rsidRPr="00F74689">
        <w:rPr>
          <w:rFonts w:ascii="Times New Roman" w:hAnsi="Times New Roman" w:cs="Times New Roman"/>
          <w:vertAlign w:val="superscript"/>
        </w:rPr>
        <w:t>th</w:t>
      </w:r>
      <w:r w:rsidRPr="00F74689">
        <w:rPr>
          <w:rFonts w:ascii="Times New Roman" w:hAnsi="Times New Roman" w:cs="Times New Roman"/>
        </w:rPr>
        <w:t xml:space="preserve"> Week, we looked at the role of ethics in administering community health. We used a demonstration strategy to analyze different case studies of errors in unethical care instances in communities. Furthermore, we assessed how ethics could be used to mitigate health risks in the community. In the 7</w:t>
      </w:r>
      <w:r w:rsidRPr="00F74689">
        <w:rPr>
          <w:rFonts w:ascii="Times New Roman" w:hAnsi="Times New Roman" w:cs="Times New Roman"/>
          <w:vertAlign w:val="superscript"/>
        </w:rPr>
        <w:t>th</w:t>
      </w:r>
      <w:r w:rsidRPr="00F74689">
        <w:rPr>
          <w:rFonts w:ascii="Times New Roman" w:hAnsi="Times New Roman" w:cs="Times New Roman"/>
        </w:rPr>
        <w:t xml:space="preserve"> Week, we analyzed the identification of education and nursing competencies in care. Return demonstration was used to provide students with the necessary experiences and phenomena behind the topic. Using learning strategies proved to be crucial in fostering person-centered care. Besides, causing students to engage in different activities helped in promoting a good and social learning environment. </w:t>
      </w:r>
    </w:p>
    <w:p w:rsidR="000410CA"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Profession Standard and Guidelines</w:t>
      </w:r>
    </w:p>
    <w:p w:rsidR="000410CA"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The Quad Council Competencies(QCC) guideline was used for the community health course. Notably, the guideline is made up of three fundamental areas referred to as tiers. The first tier is associated with nurses administering their day-to-day tasks such as record keeping, home visits and attending to vulnerable populations. The second tier addresses supervisory and management personnel competencies'. The third tier is concerned with the competencies of upper management, such as executives, managers, and directors, and their main function is to establish the organization's mission and vision. Therefore, tier one is relatable to the course as it is concerned with the role of BSN in administering community health services.</w:t>
      </w:r>
    </w:p>
    <w:p w:rsidR="003F4061"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Alignment of weekly Concepts</w:t>
      </w:r>
    </w:p>
    <w:p w:rsidR="00AE5A80"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The community</w:t>
      </w:r>
      <w:r w:rsidR="00B44536" w:rsidRPr="00F74689">
        <w:rPr>
          <w:rFonts w:ascii="Times New Roman" w:hAnsi="Times New Roman" w:cs="Times New Roman"/>
        </w:rPr>
        <w:t xml:space="preserve"> health </w:t>
      </w:r>
      <w:r w:rsidR="00A00C2F" w:rsidRPr="00F74689">
        <w:rPr>
          <w:rFonts w:ascii="Times New Roman" w:hAnsi="Times New Roman" w:cs="Times New Roman"/>
        </w:rPr>
        <w:t>outline provides</w:t>
      </w:r>
      <w:r w:rsidRPr="00F74689">
        <w:rPr>
          <w:rFonts w:ascii="Times New Roman" w:hAnsi="Times New Roman" w:cs="Times New Roman"/>
        </w:rPr>
        <w:t xml:space="preserve"> a </w:t>
      </w:r>
      <w:r w:rsidR="00CA6D8F" w:rsidRPr="00F74689">
        <w:rPr>
          <w:rFonts w:ascii="Times New Roman" w:hAnsi="Times New Roman" w:cs="Times New Roman"/>
        </w:rPr>
        <w:t>guideline</w:t>
      </w:r>
      <w:r w:rsidRPr="00F74689">
        <w:rPr>
          <w:rFonts w:ascii="Times New Roman" w:hAnsi="Times New Roman" w:cs="Times New Roman"/>
        </w:rPr>
        <w:t xml:space="preserve"> of all topics discussed in the module. Week one will commence by </w:t>
      </w:r>
      <w:r w:rsidR="00CA6D8F" w:rsidRPr="00F74689">
        <w:rPr>
          <w:rFonts w:ascii="Times New Roman" w:hAnsi="Times New Roman" w:cs="Times New Roman"/>
        </w:rPr>
        <w:t>first describing</w:t>
      </w:r>
      <w:r w:rsidRPr="00F74689">
        <w:rPr>
          <w:rFonts w:ascii="Times New Roman" w:hAnsi="Times New Roman" w:cs="Times New Roman"/>
        </w:rPr>
        <w:t xml:space="preserve"> the public health nurses and how they influence the community. From there, the second Week will investigate how public health policies </w:t>
      </w:r>
      <w:r w:rsidR="00CA6D8F" w:rsidRPr="00F74689">
        <w:rPr>
          <w:rFonts w:ascii="Times New Roman" w:hAnsi="Times New Roman" w:cs="Times New Roman"/>
        </w:rPr>
        <w:t>impact</w:t>
      </w:r>
      <w:r w:rsidRPr="00F74689">
        <w:rPr>
          <w:rFonts w:ascii="Times New Roman" w:hAnsi="Times New Roman" w:cs="Times New Roman"/>
        </w:rPr>
        <w:t xml:space="preserve"> vulnerable populations and how</w:t>
      </w:r>
      <w:r w:rsidR="00CA6D8F" w:rsidRPr="00F74689">
        <w:rPr>
          <w:rFonts w:ascii="Times New Roman" w:hAnsi="Times New Roman" w:cs="Times New Roman"/>
        </w:rPr>
        <w:t xml:space="preserve"> nurses can work collaboratively</w:t>
      </w:r>
      <w:r w:rsidRPr="00F74689">
        <w:rPr>
          <w:rFonts w:ascii="Times New Roman" w:hAnsi="Times New Roman" w:cs="Times New Roman"/>
        </w:rPr>
        <w:t xml:space="preserve"> to mitigate the </w:t>
      </w:r>
      <w:r w:rsidR="00CA6D8F" w:rsidRPr="00F74689">
        <w:rPr>
          <w:rFonts w:ascii="Times New Roman" w:hAnsi="Times New Roman" w:cs="Times New Roman"/>
        </w:rPr>
        <w:t>disparities</w:t>
      </w:r>
      <w:r w:rsidRPr="00F74689">
        <w:rPr>
          <w:rFonts w:ascii="Times New Roman" w:hAnsi="Times New Roman" w:cs="Times New Roman"/>
        </w:rPr>
        <w:t xml:space="preserve">. The third Week will mainly focus on individual and family cares challenges. The course will also cover the role of nurses in collaborating with </w:t>
      </w:r>
      <w:r w:rsidR="004E51C8" w:rsidRPr="00F74689">
        <w:rPr>
          <w:rFonts w:ascii="Times New Roman" w:hAnsi="Times New Roman" w:cs="Times New Roman"/>
        </w:rPr>
        <w:t>other organizations to establish</w:t>
      </w:r>
      <w:r w:rsidRPr="00F74689">
        <w:rPr>
          <w:rFonts w:ascii="Times New Roman" w:hAnsi="Times New Roman" w:cs="Times New Roman"/>
        </w:rPr>
        <w:t xml:space="preserve"> disaster management in the </w:t>
      </w:r>
      <w:r w:rsidR="004E51C8" w:rsidRPr="00F74689">
        <w:rPr>
          <w:rFonts w:ascii="Times New Roman" w:hAnsi="Times New Roman" w:cs="Times New Roman"/>
        </w:rPr>
        <w:t>community</w:t>
      </w:r>
      <w:r w:rsidRPr="00F74689">
        <w:rPr>
          <w:rFonts w:ascii="Times New Roman" w:hAnsi="Times New Roman" w:cs="Times New Roman"/>
        </w:rPr>
        <w:t xml:space="preserve">. Additionally, how community health nurses utilize epidemiology during practice will be addressed. The course will </w:t>
      </w:r>
      <w:r w:rsidR="004E51C8" w:rsidRPr="00F74689">
        <w:rPr>
          <w:rFonts w:ascii="Times New Roman" w:hAnsi="Times New Roman" w:cs="Times New Roman"/>
        </w:rPr>
        <w:t>also</w:t>
      </w:r>
      <w:r w:rsidRPr="00F74689">
        <w:rPr>
          <w:rFonts w:ascii="Times New Roman" w:hAnsi="Times New Roman" w:cs="Times New Roman"/>
        </w:rPr>
        <w:t xml:space="preserve"> examine the role of ethics and roles and functions of public health nurses in the practice, </w:t>
      </w:r>
      <w:r w:rsidR="004E51C8" w:rsidRPr="00F74689">
        <w:rPr>
          <w:rFonts w:ascii="Times New Roman" w:hAnsi="Times New Roman" w:cs="Times New Roman"/>
        </w:rPr>
        <w:t>home</w:t>
      </w:r>
      <w:r w:rsidRPr="00F74689">
        <w:rPr>
          <w:rFonts w:ascii="Times New Roman" w:hAnsi="Times New Roman" w:cs="Times New Roman"/>
        </w:rPr>
        <w:t xml:space="preserve"> care health, and hospice facilities. At the end of the module, learners will </w:t>
      </w:r>
      <w:r w:rsidR="004E51C8" w:rsidRPr="00F74689">
        <w:rPr>
          <w:rFonts w:ascii="Times New Roman" w:hAnsi="Times New Roman" w:cs="Times New Roman"/>
        </w:rPr>
        <w:t>learn</w:t>
      </w:r>
      <w:r w:rsidRPr="00F74689">
        <w:rPr>
          <w:rFonts w:ascii="Times New Roman" w:hAnsi="Times New Roman" w:cs="Times New Roman"/>
        </w:rPr>
        <w:t xml:space="preserve"> about quality and program management. Here they will have the opportunity to demonstrate </w:t>
      </w:r>
      <w:r w:rsidR="004E51C8" w:rsidRPr="00F74689">
        <w:rPr>
          <w:rFonts w:ascii="Times New Roman" w:hAnsi="Times New Roman" w:cs="Times New Roman"/>
        </w:rPr>
        <w:t>their</w:t>
      </w:r>
      <w:r w:rsidRPr="00F74689">
        <w:rPr>
          <w:rFonts w:ascii="Times New Roman" w:hAnsi="Times New Roman" w:cs="Times New Roman"/>
        </w:rPr>
        <w:t xml:space="preserve"> understanding of program evaluation components and how they can be applied in nursing practice.</w:t>
      </w:r>
    </w:p>
    <w:p w:rsidR="00AE5A80" w:rsidRDefault="00AE5A80" w:rsidP="00AE5A80">
      <w:pPr>
        <w:pStyle w:val="Caption"/>
        <w:keepNext/>
        <w:jc w:val="center"/>
      </w:pPr>
      <w:r>
        <w:t xml:space="preserve">Table 2: </w:t>
      </w:r>
      <w:r w:rsidRPr="002729EA">
        <w:t>Align</w:t>
      </w:r>
      <w:r>
        <w:t>ment of</w:t>
      </w:r>
      <w:r w:rsidRPr="002729EA">
        <w:t xml:space="preserve"> Weekly Concepts with Professional Standards and Guidelines.</w:t>
      </w:r>
    </w:p>
    <w:tbl>
      <w:tblPr>
        <w:tblStyle w:val="TableGrid"/>
        <w:tblW w:w="0" w:type="auto"/>
        <w:tblLook w:val="04A0" w:firstRow="1" w:lastRow="0" w:firstColumn="1" w:lastColumn="0" w:noHBand="0" w:noVBand="1"/>
      </w:tblPr>
      <w:tblGrid>
        <w:gridCol w:w="3116"/>
        <w:gridCol w:w="3117"/>
        <w:gridCol w:w="3117"/>
      </w:tblGrid>
      <w:tr w:rsidR="00AE5A80" w:rsidTr="00F36108">
        <w:tc>
          <w:tcPr>
            <w:tcW w:w="3116" w:type="dxa"/>
          </w:tcPr>
          <w:p w:rsidR="00AE5A80" w:rsidRPr="00F74689" w:rsidRDefault="00AE5A80" w:rsidP="00070AC0">
            <w:pPr>
              <w:rPr>
                <w:rFonts w:ascii="Times New Roman" w:hAnsi="Times New Roman" w:cs="Times New Roman"/>
                <w:b/>
              </w:rPr>
            </w:pPr>
            <w:r w:rsidRPr="00F74689">
              <w:rPr>
                <w:rFonts w:ascii="Times New Roman" w:hAnsi="Times New Roman" w:cs="Times New Roman"/>
                <w:b/>
              </w:rPr>
              <w:t>Weekly Concepts</w:t>
            </w:r>
          </w:p>
        </w:tc>
        <w:tc>
          <w:tcPr>
            <w:tcW w:w="3117" w:type="dxa"/>
          </w:tcPr>
          <w:p w:rsidR="00AE5A80" w:rsidRPr="00F74689" w:rsidRDefault="00AE5A80" w:rsidP="00070AC0">
            <w:pPr>
              <w:rPr>
                <w:rFonts w:ascii="Times New Roman" w:hAnsi="Times New Roman" w:cs="Times New Roman"/>
                <w:b/>
              </w:rPr>
            </w:pPr>
            <w:r w:rsidRPr="00F74689">
              <w:rPr>
                <w:rFonts w:ascii="Times New Roman" w:hAnsi="Times New Roman" w:cs="Times New Roman"/>
                <w:b/>
              </w:rPr>
              <w:t>QCC Guidelines</w:t>
            </w:r>
          </w:p>
        </w:tc>
        <w:tc>
          <w:tcPr>
            <w:tcW w:w="3117" w:type="dxa"/>
          </w:tcPr>
          <w:p w:rsidR="00AE5A80" w:rsidRPr="00F74689" w:rsidRDefault="00AE5A80" w:rsidP="00070AC0">
            <w:pPr>
              <w:rPr>
                <w:rFonts w:ascii="Times New Roman" w:hAnsi="Times New Roman" w:cs="Times New Roman"/>
                <w:b/>
              </w:rPr>
            </w:pPr>
            <w:r w:rsidRPr="00F74689">
              <w:rPr>
                <w:rFonts w:ascii="Times New Roman" w:hAnsi="Times New Roman" w:cs="Times New Roman"/>
                <w:b/>
              </w:rPr>
              <w:t>Alignment Elaboration</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1</w:t>
            </w:r>
            <w:r w:rsidRPr="00F74689">
              <w:rPr>
                <w:rFonts w:ascii="Times New Roman" w:hAnsi="Times New Roman" w:cs="Times New Roman"/>
                <w:vertAlign w:val="superscript"/>
              </w:rPr>
              <w:t>st</w:t>
            </w:r>
            <w:r w:rsidRPr="00F74689">
              <w:rPr>
                <w:rFonts w:ascii="Times New Roman" w:hAnsi="Times New Roman" w:cs="Times New Roman"/>
              </w:rPr>
              <w:t xml:space="preserve"> Week: Role of Public health nurses and how it influences community health</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one is used to analyze how nurses can work with families and individuals to reduce risks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The first Week focused majorly on the role of nurses in issuing community care</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2</w:t>
            </w:r>
            <w:r w:rsidRPr="00F74689">
              <w:rPr>
                <w:rFonts w:ascii="Times New Roman" w:hAnsi="Times New Roman" w:cs="Times New Roman"/>
                <w:vertAlign w:val="superscript"/>
              </w:rPr>
              <w:t>nd</w:t>
            </w:r>
            <w:r w:rsidRPr="00F74689">
              <w:rPr>
                <w:rFonts w:ascii="Times New Roman" w:hAnsi="Times New Roman" w:cs="Times New Roman"/>
              </w:rPr>
              <w:t xml:space="preserve"> Week: Vulnerable Populations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one: establishes health determinants and how to use recent data in caring for vulnerable populations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The students will learn about the policies that can be implemented while caring for vulnerable populations</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3</w:t>
            </w:r>
            <w:r w:rsidRPr="00F74689">
              <w:rPr>
                <w:rFonts w:ascii="Times New Roman" w:hAnsi="Times New Roman" w:cs="Times New Roman"/>
                <w:vertAlign w:val="superscript"/>
              </w:rPr>
              <w:t>rd</w:t>
            </w:r>
            <w:r w:rsidRPr="00F74689">
              <w:rPr>
                <w:rFonts w:ascii="Times New Roman" w:hAnsi="Times New Roman" w:cs="Times New Roman"/>
              </w:rPr>
              <w:t xml:space="preserve"> Week: Family and Individual care Issues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One: collect relevant information regarding issues facing individuals and groups as part of community assessment</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Here we will apply the nursing process, which involves learning, planning and evaluation of risks surrounding individuals and their families in the community</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4</w:t>
            </w:r>
            <w:r w:rsidRPr="00F74689">
              <w:rPr>
                <w:rFonts w:ascii="Times New Roman" w:hAnsi="Times New Roman" w:cs="Times New Roman"/>
                <w:vertAlign w:val="superscript"/>
              </w:rPr>
              <w:t>th</w:t>
            </w:r>
            <w:r w:rsidRPr="00F74689">
              <w:rPr>
                <w:rFonts w:ascii="Times New Roman" w:hAnsi="Times New Roman" w:cs="Times New Roman"/>
              </w:rPr>
              <w:t xml:space="preserve"> Week: Disaster Management</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1: identifies community-based risks associated with the provision of care</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how they can work collaboratively with other organizations to minimize disaster at the community level</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5</w:t>
            </w:r>
            <w:r w:rsidRPr="00F74689">
              <w:rPr>
                <w:rFonts w:ascii="Times New Roman" w:hAnsi="Times New Roman" w:cs="Times New Roman"/>
                <w:vertAlign w:val="superscript"/>
              </w:rPr>
              <w:t>th</w:t>
            </w:r>
            <w:r w:rsidRPr="00F74689">
              <w:rPr>
                <w:rFonts w:ascii="Times New Roman" w:hAnsi="Times New Roman" w:cs="Times New Roman"/>
              </w:rPr>
              <w:t xml:space="preserve"> Week: </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1: Analyses public health nursing care to families, individuals according to epidemiological evidence gathered</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The learners will gain knowledge on how they can administer and evidence-based care</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6</w:t>
            </w:r>
            <w:r w:rsidRPr="00F74689">
              <w:rPr>
                <w:rFonts w:ascii="Times New Roman" w:hAnsi="Times New Roman" w:cs="Times New Roman"/>
                <w:vertAlign w:val="superscript"/>
              </w:rPr>
              <w:t>th</w:t>
            </w:r>
            <w:r w:rsidRPr="00F74689">
              <w:rPr>
                <w:rFonts w:ascii="Times New Roman" w:hAnsi="Times New Roman" w:cs="Times New Roman"/>
              </w:rPr>
              <w:t xml:space="preserve"> Week: Influence of ethics on Healthcare Delivery and Nursing</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1: Uses relevant data  to identify health errors for the populations as well as the needs and beliefs of the service users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Learners will learn how they can administer safe care that meets the needs, values and beliefs of the care users.</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7</w:t>
            </w:r>
            <w:r w:rsidRPr="00F74689">
              <w:rPr>
                <w:rFonts w:ascii="Times New Roman" w:hAnsi="Times New Roman" w:cs="Times New Roman"/>
                <w:vertAlign w:val="superscript"/>
              </w:rPr>
              <w:t>th</w:t>
            </w:r>
            <w:r w:rsidRPr="00F74689">
              <w:rPr>
                <w:rFonts w:ascii="Times New Roman" w:hAnsi="Times New Roman" w:cs="Times New Roman"/>
              </w:rPr>
              <w:t xml:space="preserve"> Week: Nursing Practice in the Community Roles and Functions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One: incorporates different methods in providing relevant health information to individuals and groups in the community</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the importance of public health education and how nursing competencies will help improve the general care of people in different settings within the public domain</w:t>
            </w:r>
          </w:p>
        </w:tc>
      </w:tr>
      <w:tr w:rsidR="00AE5A80" w:rsidTr="00F36108">
        <w:tc>
          <w:tcPr>
            <w:tcW w:w="3116"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8</w:t>
            </w:r>
            <w:r w:rsidRPr="00F74689">
              <w:rPr>
                <w:rFonts w:ascii="Times New Roman" w:hAnsi="Times New Roman" w:cs="Times New Roman"/>
                <w:vertAlign w:val="superscript"/>
              </w:rPr>
              <w:t>th</w:t>
            </w:r>
            <w:r w:rsidRPr="00F74689">
              <w:rPr>
                <w:rFonts w:ascii="Times New Roman" w:hAnsi="Times New Roman" w:cs="Times New Roman"/>
              </w:rPr>
              <w:t xml:space="preserve"> Week: Program and Quality Management</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Tier One: Utilizes a variety of methods in disseminating care to individuals and families.</w:t>
            </w:r>
          </w:p>
        </w:tc>
        <w:tc>
          <w:tcPr>
            <w:tcW w:w="3117" w:type="dxa"/>
          </w:tcPr>
          <w:p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the general requirements for nursing application in the community.</w:t>
            </w:r>
          </w:p>
        </w:tc>
      </w:tr>
    </w:tbl>
    <w:p w:rsidR="00070AC0" w:rsidRDefault="00070AC0" w:rsidP="00F74689">
      <w:pPr>
        <w:spacing w:line="480" w:lineRule="auto"/>
        <w:jc w:val="center"/>
        <w:rPr>
          <w:rFonts w:ascii="Times New Roman" w:hAnsi="Times New Roman" w:cs="Times New Roman"/>
          <w:b/>
        </w:rPr>
      </w:pPr>
    </w:p>
    <w:p w:rsidR="00CA6D8F"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Course Outline and Relevance</w:t>
      </w:r>
    </w:p>
    <w:p w:rsidR="00FC369A"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A course outline is a plan or, instead, a teaching guide. It is essential to have one as it helps identify the </w:t>
      </w:r>
      <w:r w:rsidR="00E8711C" w:rsidRPr="00F74689">
        <w:rPr>
          <w:rFonts w:ascii="Times New Roman" w:hAnsi="Times New Roman" w:cs="Times New Roman"/>
        </w:rPr>
        <w:t>learning</w:t>
      </w:r>
      <w:r w:rsidRPr="00F74689">
        <w:rPr>
          <w:rFonts w:ascii="Times New Roman" w:hAnsi="Times New Roman" w:cs="Times New Roman"/>
        </w:rPr>
        <w:t xml:space="preserve"> needs that are to be </w:t>
      </w:r>
      <w:r w:rsidR="00E8711C" w:rsidRPr="00F74689">
        <w:rPr>
          <w:rFonts w:ascii="Times New Roman" w:hAnsi="Times New Roman" w:cs="Times New Roman"/>
        </w:rPr>
        <w:t>covered</w:t>
      </w:r>
      <w:r w:rsidRPr="00F74689">
        <w:rPr>
          <w:rFonts w:ascii="Times New Roman" w:hAnsi="Times New Roman" w:cs="Times New Roman"/>
        </w:rPr>
        <w:t xml:space="preserve"> throughout the module. </w:t>
      </w:r>
      <w:r w:rsidR="00E8711C" w:rsidRPr="00F74689">
        <w:rPr>
          <w:rFonts w:ascii="Times New Roman" w:hAnsi="Times New Roman" w:cs="Times New Roman"/>
        </w:rPr>
        <w:t xml:space="preserve">As an Advanced Nursing educator, I need to develop relevant topics that are </w:t>
      </w:r>
      <w:r w:rsidR="00B44536" w:rsidRPr="00F74689">
        <w:rPr>
          <w:rFonts w:ascii="Times New Roman" w:hAnsi="Times New Roman" w:cs="Times New Roman"/>
        </w:rPr>
        <w:t>meet the course guidelines.</w:t>
      </w:r>
      <w:r w:rsidR="00E8711C" w:rsidRPr="00F74689">
        <w:rPr>
          <w:rFonts w:ascii="Times New Roman" w:hAnsi="Times New Roman" w:cs="Times New Roman"/>
        </w:rPr>
        <w:t xml:space="preserve"> Apart from the outline, ANE needs to make sure that activities are incorporated in the lessons plan that will help develop the learners' cognitive skills. </w:t>
      </w:r>
      <w:r w:rsidR="0060211F" w:rsidRPr="00F74689">
        <w:rPr>
          <w:rFonts w:ascii="Times New Roman" w:hAnsi="Times New Roman" w:cs="Times New Roman"/>
        </w:rPr>
        <w:t xml:space="preserve">As an educator, a course outline is crucial to my role in that I will be responsible for following the plan and making sure that I attend to the needs of all learners while preparing them for a future career. </w:t>
      </w:r>
    </w:p>
    <w:p w:rsidR="00BF636C"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Part C: Learning Strategies</w:t>
      </w:r>
    </w:p>
    <w:p w:rsidR="00E8711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Different learning strategies were incorporated into the course plan. </w:t>
      </w:r>
      <w:r w:rsidR="00543AF5" w:rsidRPr="00F74689">
        <w:rPr>
          <w:rFonts w:ascii="Times New Roman" w:hAnsi="Times New Roman" w:cs="Times New Roman"/>
        </w:rPr>
        <w:t>Using different learning methods helps in reaching diverse students from various backgrounds. Some students learn better through listening and taking notes, while others prefer demonstrations or instruction exercises. Examples of strategies</w:t>
      </w:r>
      <w:r w:rsidRPr="00F74689">
        <w:rPr>
          <w:rFonts w:ascii="Times New Roman" w:hAnsi="Times New Roman" w:cs="Times New Roman"/>
        </w:rPr>
        <w:t xml:space="preserve"> used throughout the module include simulation, Group discussions, and Lectures. The simulation strategy is crucial as it allows students to participate in practical community projects</w:t>
      </w:r>
      <w:r w:rsidR="000412CD" w:rsidRPr="00F74689">
        <w:rPr>
          <w:rFonts w:ascii="Times New Roman" w:hAnsi="Times New Roman" w:cs="Times New Roman"/>
          <w:shd w:val="clear" w:color="auto" w:fill="FFFFFF"/>
        </w:rPr>
        <w:t xml:space="preserve"> (Hughes, 2012)</w:t>
      </w:r>
      <w:r w:rsidRPr="00F74689">
        <w:rPr>
          <w:rFonts w:ascii="Times New Roman" w:hAnsi="Times New Roman" w:cs="Times New Roman"/>
        </w:rPr>
        <w:t xml:space="preserve">. </w:t>
      </w:r>
      <w:r w:rsidR="008B7AFB" w:rsidRPr="00F74689">
        <w:rPr>
          <w:rFonts w:ascii="Times New Roman" w:hAnsi="Times New Roman" w:cs="Times New Roman"/>
        </w:rPr>
        <w:t xml:space="preserve">The use </w:t>
      </w:r>
      <w:r w:rsidR="00543AF5" w:rsidRPr="00F74689">
        <w:rPr>
          <w:rFonts w:ascii="Times New Roman" w:hAnsi="Times New Roman" w:cs="Times New Roman"/>
        </w:rPr>
        <w:t>of role</w:t>
      </w:r>
      <w:r w:rsidR="008B7AFB" w:rsidRPr="00F74689">
        <w:rPr>
          <w:rFonts w:ascii="Times New Roman" w:hAnsi="Times New Roman" w:cs="Times New Roman"/>
        </w:rPr>
        <w:t xml:space="preserve">-play simulations will reach students perform better through practical examples. They </w:t>
      </w:r>
      <w:r w:rsidR="00543AF5" w:rsidRPr="00F74689">
        <w:rPr>
          <w:rFonts w:ascii="Times New Roman" w:hAnsi="Times New Roman" w:cs="Times New Roman"/>
        </w:rPr>
        <w:t>will</w:t>
      </w:r>
      <w:r w:rsidR="008B7AFB" w:rsidRPr="00F74689">
        <w:rPr>
          <w:rFonts w:ascii="Times New Roman" w:hAnsi="Times New Roman" w:cs="Times New Roman"/>
        </w:rPr>
        <w:t xml:space="preserve"> have an opportunity to engage in active and practical </w:t>
      </w:r>
      <w:r w:rsidR="00543AF5" w:rsidRPr="00F74689">
        <w:rPr>
          <w:rFonts w:ascii="Times New Roman" w:hAnsi="Times New Roman" w:cs="Times New Roman"/>
        </w:rPr>
        <w:t>learning</w:t>
      </w:r>
      <w:r w:rsidR="008B7AFB" w:rsidRPr="00F74689">
        <w:rPr>
          <w:rFonts w:ascii="Times New Roman" w:hAnsi="Times New Roman" w:cs="Times New Roman"/>
        </w:rPr>
        <w:t xml:space="preserve">. </w:t>
      </w:r>
      <w:r w:rsidR="00543AF5" w:rsidRPr="00F74689">
        <w:rPr>
          <w:rFonts w:ascii="Times New Roman" w:hAnsi="Times New Roman" w:cs="Times New Roman"/>
        </w:rPr>
        <w:t xml:space="preserve"> </w:t>
      </w:r>
      <w:r w:rsidRPr="00F74689">
        <w:rPr>
          <w:rFonts w:ascii="Times New Roman" w:hAnsi="Times New Roman" w:cs="Times New Roman"/>
        </w:rPr>
        <w:t xml:space="preserve">On the other hand, lecturing gives room for information presentation. Here, the learners can take important notes that they can refer to later during their own free time. </w:t>
      </w:r>
      <w:r w:rsidR="00543AF5" w:rsidRPr="00F74689">
        <w:rPr>
          <w:rFonts w:ascii="Times New Roman" w:hAnsi="Times New Roman" w:cs="Times New Roman"/>
        </w:rPr>
        <w:t>This strategy will favor learners who are not good at role-play simulations. Additionally</w:t>
      </w:r>
      <w:r w:rsidRPr="00F74689">
        <w:rPr>
          <w:rFonts w:ascii="Times New Roman" w:hAnsi="Times New Roman" w:cs="Times New Roman"/>
        </w:rPr>
        <w:t xml:space="preserve">, using group discussion fosters collaboration and active learning. </w:t>
      </w:r>
      <w:r w:rsidR="00543AF5" w:rsidRPr="00F74689">
        <w:rPr>
          <w:rFonts w:ascii="Times New Roman" w:hAnsi="Times New Roman" w:cs="Times New Roman"/>
        </w:rPr>
        <w:t xml:space="preserve">Incorporating these strategies will attend to the needs of all students from diverse groups. </w:t>
      </w:r>
    </w:p>
    <w:p w:rsidR="00BF636C"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Implementation of the Learning Strategies</w:t>
      </w:r>
    </w:p>
    <w:p w:rsidR="005A4C86"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As indicated in the 4</w:t>
      </w:r>
      <w:r w:rsidRPr="00F74689">
        <w:rPr>
          <w:rFonts w:ascii="Times New Roman" w:hAnsi="Times New Roman" w:cs="Times New Roman"/>
          <w:vertAlign w:val="superscript"/>
        </w:rPr>
        <w:t>th</w:t>
      </w:r>
      <w:r w:rsidRPr="00F74689">
        <w:rPr>
          <w:rFonts w:ascii="Times New Roman" w:hAnsi="Times New Roman" w:cs="Times New Roman"/>
        </w:rPr>
        <w:t xml:space="preserve"> Week of the module, </w:t>
      </w:r>
      <w:r w:rsidR="00B57687" w:rsidRPr="00F74689">
        <w:rPr>
          <w:rFonts w:ascii="Times New Roman" w:hAnsi="Times New Roman" w:cs="Times New Roman"/>
        </w:rPr>
        <w:t>Role-playing simulations are utilized with my students. Here, the students will work in groups of five to outline and practice community healthcare providers' roles while working with other organizations like the red cross to prepare and shield people from disasters.  Besides, the central role of nurses in the promotion of community health is working with populations and communities in enhancing healthcare standards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(Hughes, 2012)</w:t>
      </w:r>
      <w:r w:rsidR="00B57687" w:rsidRPr="00F74689">
        <w:rPr>
          <w:rFonts w:ascii="Times New Roman" w:hAnsi="Times New Roman" w:cs="Times New Roman"/>
        </w:rPr>
        <w:t xml:space="preserve">. </w:t>
      </w:r>
      <w:r w:rsidR="00B44536" w:rsidRPr="00F74689">
        <w:rPr>
          <w:rFonts w:ascii="Times New Roman" w:hAnsi="Times New Roman" w:cs="Times New Roman"/>
        </w:rPr>
        <w:t>The role-play simulations</w:t>
      </w:r>
      <w:r w:rsidR="00B57687" w:rsidRPr="00F74689">
        <w:rPr>
          <w:rFonts w:ascii="Times New Roman" w:hAnsi="Times New Roman" w:cs="Times New Roman"/>
        </w:rPr>
        <w:t xml:space="preserve"> involve processes like preventive care as well as the professionalization of nursing. When the perspective of Disaster management is adhered to, positive outcomes will be achieved in the community. Therefore, students will develop a perspective framework to enable them to come up with a disaster management framework. Ideally, the framework will </w:t>
      </w:r>
      <w:r w:rsidR="0082165C" w:rsidRPr="00F74689">
        <w:rPr>
          <w:rFonts w:ascii="Times New Roman" w:hAnsi="Times New Roman" w:cs="Times New Roman"/>
        </w:rPr>
        <w:t>outline</w:t>
      </w:r>
      <w:r w:rsidR="00B57687" w:rsidRPr="00F74689">
        <w:rPr>
          <w:rFonts w:ascii="Times New Roman" w:hAnsi="Times New Roman" w:cs="Times New Roman"/>
        </w:rPr>
        <w:t xml:space="preserve"> the role of different stakeholders in disaster management at the community level.</w:t>
      </w:r>
    </w:p>
    <w:p w:rsidR="005A4C86"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 Role-playing simulation is crucial as it gives students hands-on experience working with other stakeholders in health promotion programs. This strategy will be able to reach diverse students by providing both hands-on experience and printed copies. Therefore, the strategy will favor students who learn best by reading things intellectually and those who use scenarios and case studies to gain knowledge. </w:t>
      </w:r>
    </w:p>
    <w:p w:rsidR="00BF636C"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Assessment of</w:t>
      </w:r>
      <w:r w:rsidR="00FD21F9" w:rsidRPr="00F74689">
        <w:rPr>
          <w:rFonts w:ascii="Times New Roman" w:hAnsi="Times New Roman" w:cs="Times New Roman"/>
          <w:b/>
        </w:rPr>
        <w:t xml:space="preserve"> </w:t>
      </w:r>
      <w:r w:rsidRPr="00F74689">
        <w:rPr>
          <w:rFonts w:ascii="Times New Roman" w:hAnsi="Times New Roman" w:cs="Times New Roman"/>
          <w:b/>
        </w:rPr>
        <w:t>Learning</w:t>
      </w:r>
      <w:r w:rsidR="00FD21F9" w:rsidRPr="00F74689">
        <w:rPr>
          <w:rFonts w:ascii="Times New Roman" w:hAnsi="Times New Roman" w:cs="Times New Roman"/>
          <w:b/>
        </w:rPr>
        <w:t xml:space="preserve"> Strategies</w:t>
      </w:r>
    </w:p>
    <w:p w:rsidR="0082165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(Schick, 2020)</w:t>
      </w:r>
      <w:r w:rsidRPr="00F74689">
        <w:rPr>
          <w:rFonts w:ascii="Times New Roman" w:hAnsi="Times New Roman" w:cs="Times New Roman"/>
        </w:rPr>
        <w:t>.</w:t>
      </w:r>
      <w:r w:rsidR="000412CD" w:rsidRPr="00F74689">
        <w:rPr>
          <w:rFonts w:ascii="Times New Roman" w:hAnsi="Times New Roman" w:cs="Times New Roman"/>
        </w:rPr>
        <w:t xml:space="preserve"> </w:t>
      </w:r>
      <w:r w:rsidRPr="00F74689">
        <w:rPr>
          <w:rFonts w:ascii="Times New Roman" w:hAnsi="Times New Roman" w:cs="Times New Roman"/>
        </w:rPr>
        <w:t xml:space="preserve">Besides, there are those learners who learn by reading while others grasp through experience. In this regard, role-play simulation </w:t>
      </w:r>
      <w:r w:rsidR="00015FDF" w:rsidRPr="00F74689">
        <w:rPr>
          <w:rFonts w:ascii="Times New Roman" w:hAnsi="Times New Roman" w:cs="Times New Roman"/>
        </w:rPr>
        <w:t xml:space="preserve">will benefit learners, considering it's a visual and experimental </w:t>
      </w:r>
      <w:r w:rsidRPr="00F74689">
        <w:rPr>
          <w:rFonts w:ascii="Times New Roman" w:hAnsi="Times New Roman" w:cs="Times New Roman"/>
        </w:rPr>
        <w:t>learning</w:t>
      </w:r>
      <w:r w:rsidR="00015FDF" w:rsidRPr="00F74689">
        <w:rPr>
          <w:rFonts w:ascii="Times New Roman" w:hAnsi="Times New Roman" w:cs="Times New Roman"/>
        </w:rPr>
        <w:t xml:space="preserve"> </w:t>
      </w:r>
      <w:r w:rsidRPr="00F74689">
        <w:rPr>
          <w:rFonts w:ascii="Times New Roman" w:hAnsi="Times New Roman" w:cs="Times New Roman"/>
        </w:rPr>
        <w:t>strategy. The</w:t>
      </w:r>
      <w:r w:rsidR="00015FDF" w:rsidRPr="00F74689">
        <w:rPr>
          <w:rFonts w:ascii="Times New Roman" w:hAnsi="Times New Roman" w:cs="Times New Roman"/>
        </w:rPr>
        <w:t xml:space="preserve"> learners have an opportunity to watch, observe as well as participate</w:t>
      </w:r>
      <w:r w:rsidRPr="00F74689">
        <w:rPr>
          <w:rFonts w:ascii="Times New Roman" w:hAnsi="Times New Roman" w:cs="Times New Roman"/>
        </w:rPr>
        <w:t xml:space="preserve"> actively in the role play.</w:t>
      </w:r>
    </w:p>
    <w:p w:rsidR="005A4C86"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role-play simulation </w:t>
      </w:r>
      <w:r w:rsidR="00833196" w:rsidRPr="00F74689">
        <w:rPr>
          <w:rFonts w:ascii="Times New Roman" w:hAnsi="Times New Roman" w:cs="Times New Roman"/>
        </w:rPr>
        <w:t>strategy</w:t>
      </w:r>
      <w:r w:rsidRPr="00F74689">
        <w:rPr>
          <w:rFonts w:ascii="Times New Roman" w:hAnsi="Times New Roman" w:cs="Times New Roman"/>
        </w:rPr>
        <w:t xml:space="preserve">'s predominant learning style is VARK, which happens to be made up </w:t>
      </w:r>
      <w:r w:rsidR="00833196" w:rsidRPr="00F74689">
        <w:rPr>
          <w:rFonts w:ascii="Times New Roman" w:hAnsi="Times New Roman" w:cs="Times New Roman"/>
        </w:rPr>
        <w:t>of (visuals</w:t>
      </w:r>
      <w:r w:rsidRPr="00F74689">
        <w:rPr>
          <w:rFonts w:ascii="Times New Roman" w:hAnsi="Times New Roman" w:cs="Times New Roman"/>
        </w:rPr>
        <w:t xml:space="preserve">, aural, read/write, </w:t>
      </w:r>
      <w:r w:rsidR="00833196" w:rsidRPr="00F74689">
        <w:rPr>
          <w:rFonts w:ascii="Times New Roman" w:hAnsi="Times New Roman" w:cs="Times New Roman"/>
        </w:rPr>
        <w:t xml:space="preserve">kinesthetic) model. The crucial part of using the learning model applies to a diverse group of students. Some learners grasp concepts best through lectures and not taking, while others thrive through hands-on activities like role play. Additionally, some gain knowledge from bits of both in the long run. </w:t>
      </w:r>
    </w:p>
    <w:p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Clinical Reasoning and self-reflection skills</w:t>
      </w:r>
    </w:p>
    <w:p w:rsidR="00DD4AAB"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Clinical </w:t>
      </w:r>
      <w:r w:rsidR="00515B0F" w:rsidRPr="00F74689">
        <w:rPr>
          <w:rFonts w:ascii="Times New Roman" w:hAnsi="Times New Roman" w:cs="Times New Roman"/>
        </w:rPr>
        <w:t xml:space="preserve">reasoning </w:t>
      </w:r>
      <w:r w:rsidRPr="00F74689">
        <w:rPr>
          <w:rFonts w:ascii="Times New Roman" w:hAnsi="Times New Roman" w:cs="Times New Roman"/>
        </w:rPr>
        <w:t xml:space="preserve">applies and </w:t>
      </w:r>
      <w:r w:rsidR="00515B0F" w:rsidRPr="00F74689">
        <w:rPr>
          <w:rFonts w:ascii="Times New Roman" w:hAnsi="Times New Roman" w:cs="Times New Roman"/>
        </w:rPr>
        <w:t>integrat</w:t>
      </w:r>
      <w:r w:rsidRPr="00F74689">
        <w:rPr>
          <w:rFonts w:ascii="Times New Roman" w:hAnsi="Times New Roman" w:cs="Times New Roman"/>
        </w:rPr>
        <w:t xml:space="preserve">es different knowledge, critical thinking, and </w:t>
      </w:r>
      <w:r w:rsidR="00515B0F" w:rsidRPr="00F74689">
        <w:rPr>
          <w:rFonts w:ascii="Times New Roman" w:hAnsi="Times New Roman" w:cs="Times New Roman"/>
        </w:rPr>
        <w:t>weighing</w:t>
      </w:r>
      <w:r w:rsidRPr="00F74689">
        <w:rPr>
          <w:rFonts w:ascii="Times New Roman" w:hAnsi="Times New Roman" w:cs="Times New Roman"/>
        </w:rPr>
        <w:t xml:space="preserve"> evidence while reflecting on a specific situation. In nursing, critical thinking </w:t>
      </w:r>
      <w:r w:rsidR="00515B0F" w:rsidRPr="00F74689">
        <w:rPr>
          <w:rFonts w:ascii="Times New Roman" w:hAnsi="Times New Roman" w:cs="Times New Roman"/>
        </w:rPr>
        <w:t xml:space="preserve">is crucial as it allows nurses </w:t>
      </w:r>
      <w:r w:rsidRPr="00F74689">
        <w:rPr>
          <w:rFonts w:ascii="Times New Roman" w:hAnsi="Times New Roman" w:cs="Times New Roman"/>
        </w:rPr>
        <w:t xml:space="preserve">to make better care </w:t>
      </w:r>
      <w:r w:rsidR="00515B0F" w:rsidRPr="00F74689">
        <w:rPr>
          <w:rFonts w:ascii="Times New Roman" w:hAnsi="Times New Roman" w:cs="Times New Roman"/>
        </w:rPr>
        <w:t>decisions</w:t>
      </w:r>
      <w:r w:rsidRPr="00F74689">
        <w:rPr>
          <w:rFonts w:ascii="Times New Roman" w:hAnsi="Times New Roman" w:cs="Times New Roman"/>
        </w:rPr>
        <w:t xml:space="preserve"> while attending to the patients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(Bolton, 2015)</w:t>
      </w:r>
      <w:r w:rsidRPr="00F74689">
        <w:rPr>
          <w:rFonts w:ascii="Times New Roman" w:hAnsi="Times New Roman" w:cs="Times New Roman"/>
        </w:rPr>
        <w:t xml:space="preserve">. During the module, students will be encouraged to self-reflect on situations like role-playing simulations. </w:t>
      </w:r>
      <w:r w:rsidR="00515B0F" w:rsidRPr="00F74689">
        <w:rPr>
          <w:rFonts w:ascii="Times New Roman" w:hAnsi="Times New Roman" w:cs="Times New Roman"/>
        </w:rPr>
        <w:t>Regarding the community healthcare course, students will be able to reflect on different role-play activities to assess the areas they need to improve.</w:t>
      </w:r>
      <w:r w:rsidR="00833196" w:rsidRPr="00F74689">
        <w:rPr>
          <w:rFonts w:ascii="Times New Roman" w:hAnsi="Times New Roman" w:cs="Times New Roman"/>
        </w:rPr>
        <w:t xml:space="preserve"> Ideally, they will reflect on what went well and those that did not.  Follow-up activities will also be used where the learners will journal an explanation of their reasoning and rationale. </w:t>
      </w:r>
      <w:r w:rsidR="00515B0F" w:rsidRPr="00F74689">
        <w:rPr>
          <w:rFonts w:ascii="Times New Roman" w:hAnsi="Times New Roman" w:cs="Times New Roman"/>
        </w:rPr>
        <w:t xml:space="preserve"> Bedsides reflection will prepare students for their future careers by utilizing the opportunities and challenges identified through clinical reasoning and reflection. </w:t>
      </w:r>
    </w:p>
    <w:p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w:t>
      </w:r>
      <w:r w:rsidR="00550AEE" w:rsidRPr="00F74689">
        <w:rPr>
          <w:rFonts w:ascii="Times New Roman" w:hAnsi="Times New Roman" w:cs="Times New Roman"/>
          <w:b/>
        </w:rPr>
        <w:t xml:space="preserve">D. </w:t>
      </w:r>
      <w:r w:rsidR="00DD4AAB" w:rsidRPr="00F74689">
        <w:rPr>
          <w:rFonts w:ascii="Times New Roman" w:hAnsi="Times New Roman" w:cs="Times New Roman"/>
          <w:b/>
        </w:rPr>
        <w:t>Learning</w:t>
      </w:r>
      <w:r w:rsidR="00550AEE" w:rsidRPr="00F74689">
        <w:rPr>
          <w:rFonts w:ascii="Times New Roman" w:hAnsi="Times New Roman" w:cs="Times New Roman"/>
          <w:b/>
        </w:rPr>
        <w:t xml:space="preserve"> Environment</w:t>
      </w:r>
    </w:p>
    <w:p w:rsidR="00366CB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A good </w:t>
      </w:r>
      <w:r w:rsidR="0059177A" w:rsidRPr="00F74689">
        <w:rPr>
          <w:rFonts w:ascii="Times New Roman" w:hAnsi="Times New Roman" w:cs="Times New Roman"/>
        </w:rPr>
        <w:t>learning</w:t>
      </w:r>
      <w:r w:rsidRPr="00F74689">
        <w:rPr>
          <w:rFonts w:ascii="Times New Roman" w:hAnsi="Times New Roman" w:cs="Times New Roman"/>
        </w:rPr>
        <w:t xml:space="preserve"> environment provides a safe and creative </w:t>
      </w:r>
      <w:r w:rsidR="0059177A" w:rsidRPr="00F74689">
        <w:rPr>
          <w:rFonts w:ascii="Times New Roman" w:hAnsi="Times New Roman" w:cs="Times New Roman"/>
        </w:rPr>
        <w:t>platform</w:t>
      </w:r>
      <w:r w:rsidRPr="00F74689">
        <w:rPr>
          <w:rFonts w:ascii="Times New Roman" w:hAnsi="Times New Roman" w:cs="Times New Roman"/>
        </w:rPr>
        <w:t xml:space="preserve"> for learners. Before students </w:t>
      </w:r>
      <w:r w:rsidR="0059177A" w:rsidRPr="00F74689">
        <w:rPr>
          <w:rFonts w:ascii="Times New Roman" w:hAnsi="Times New Roman" w:cs="Times New Roman"/>
        </w:rPr>
        <w:t>succeed</w:t>
      </w:r>
      <w:r w:rsidRPr="00F74689">
        <w:rPr>
          <w:rFonts w:ascii="Times New Roman" w:hAnsi="Times New Roman" w:cs="Times New Roman"/>
        </w:rPr>
        <w:t xml:space="preserve"> academically, they need to be in a safe place both physically and mentally</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(Tongchai, 2016)</w:t>
      </w:r>
      <w:r w:rsidRPr="00F74689">
        <w:rPr>
          <w:rFonts w:ascii="Times New Roman" w:hAnsi="Times New Roman" w:cs="Times New Roman"/>
        </w:rPr>
        <w:t>. As a nursing educator, I am obligated to create an environment that promotes a student-</w:t>
      </w:r>
      <w:r w:rsidR="0059177A" w:rsidRPr="00F74689">
        <w:rPr>
          <w:rFonts w:ascii="Times New Roman" w:hAnsi="Times New Roman" w:cs="Times New Roman"/>
        </w:rPr>
        <w:t>centered</w:t>
      </w:r>
      <w:r w:rsidRPr="00F74689">
        <w:rPr>
          <w:rFonts w:ascii="Times New Roman" w:hAnsi="Times New Roman" w:cs="Times New Roman"/>
        </w:rPr>
        <w:t xml:space="preserve"> outcome. Besides, the learning strategies used during the module varied based on the environment. For instance, during classroom environments, I used face-to-face lecturers to engage with learners. This is important as it allows the students to take notes, ask questions, and interact with other students. Additionally, the role-play simulation encouraged group discussions which in turn will encourage collaborations and teamwork. Students will take turns acting as healthcare providers and red-cross personnel in obtaining the best possible care outcomes. In this regard, their transition from being students to professionals will be easier through this teaching mode. Besides, collaboration and teamwork are crucial requirements in the clinical setting. </w:t>
      </w:r>
    </w:p>
    <w:p w:rsidR="00366CB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In the online environments, I would incorporate virtual face-to-face learning. During classes, I will bring together few students from other disciplines to work with the nursing learners. The learner will gain hands-on experience on how it's like to carry out multidisciplinary care in the clinical setting. All these strategies aim at helping learners build interprofessional relationships and learn from each other's knowledge and experiences. </w:t>
      </w:r>
    </w:p>
    <w:p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E. </w:t>
      </w:r>
      <w:r w:rsidR="00DD4AAB" w:rsidRPr="00F74689">
        <w:rPr>
          <w:rFonts w:ascii="Times New Roman" w:hAnsi="Times New Roman" w:cs="Times New Roman"/>
          <w:b/>
        </w:rPr>
        <w:t>Experiences</w:t>
      </w:r>
      <w:r w:rsidR="00550AEE" w:rsidRPr="00F74689">
        <w:rPr>
          <w:rFonts w:ascii="Times New Roman" w:hAnsi="Times New Roman" w:cs="Times New Roman"/>
          <w:b/>
        </w:rPr>
        <w:t xml:space="preserve"> of </w:t>
      </w:r>
      <w:r w:rsidRPr="00F74689">
        <w:rPr>
          <w:rFonts w:ascii="Times New Roman" w:hAnsi="Times New Roman" w:cs="Times New Roman"/>
          <w:b/>
        </w:rPr>
        <w:t>Nursing Students</w:t>
      </w:r>
    </w:p>
    <w:p w:rsidR="00CB762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The primary role of a nursing educator is to ensure the active participation of all learners. Ideally, nursing as a profession </w:t>
      </w:r>
      <w:r w:rsidR="00464244" w:rsidRPr="00F74689">
        <w:rPr>
          <w:rFonts w:ascii="Times New Roman" w:hAnsi="Times New Roman" w:cs="Times New Roman"/>
        </w:rPr>
        <w:t>involves</w:t>
      </w:r>
      <w:r w:rsidRPr="00F74689">
        <w:rPr>
          <w:rFonts w:ascii="Times New Roman" w:hAnsi="Times New Roman" w:cs="Times New Roman"/>
        </w:rPr>
        <w:t xml:space="preserve"> caring for a diverse population. Hence, clinical and </w:t>
      </w:r>
      <w:r w:rsidR="00464244" w:rsidRPr="00F74689">
        <w:rPr>
          <w:rFonts w:ascii="Times New Roman" w:hAnsi="Times New Roman" w:cs="Times New Roman"/>
        </w:rPr>
        <w:t>learning</w:t>
      </w:r>
      <w:r w:rsidRPr="00F74689">
        <w:rPr>
          <w:rFonts w:ascii="Times New Roman" w:hAnsi="Times New Roman" w:cs="Times New Roman"/>
        </w:rPr>
        <w:t xml:space="preserve"> settings must uphold cultural competence. In the given scenario, the community health educator is guiding a class of diverse students. </w:t>
      </w:r>
      <w:r w:rsidR="00464244" w:rsidRPr="00F74689">
        <w:rPr>
          <w:rFonts w:ascii="Times New Roman" w:hAnsi="Times New Roman" w:cs="Times New Roman"/>
        </w:rPr>
        <w:t>Resultantly</w:t>
      </w:r>
      <w:r w:rsidRPr="00F74689">
        <w:rPr>
          <w:rFonts w:ascii="Times New Roman" w:hAnsi="Times New Roman" w:cs="Times New Roman"/>
        </w:rPr>
        <w:t xml:space="preserve"> the needs of learners must be </w:t>
      </w:r>
      <w:r w:rsidR="00464244" w:rsidRPr="00F74689">
        <w:rPr>
          <w:rFonts w:ascii="Times New Roman" w:hAnsi="Times New Roman" w:cs="Times New Roman"/>
        </w:rPr>
        <w:t>considered</w:t>
      </w:r>
      <w:r w:rsidRPr="00F74689">
        <w:rPr>
          <w:rFonts w:ascii="Times New Roman" w:hAnsi="Times New Roman" w:cs="Times New Roman"/>
        </w:rPr>
        <w:t>. Besides, teaching a diverse population requires implementing different strategies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(Adya et al., 2015)</w:t>
      </w:r>
      <w:r w:rsidRPr="00F74689">
        <w:rPr>
          <w:rFonts w:ascii="Times New Roman" w:hAnsi="Times New Roman" w:cs="Times New Roman"/>
        </w:rPr>
        <w:t xml:space="preserve">. Some students </w:t>
      </w:r>
      <w:r w:rsidR="00464244" w:rsidRPr="00F74689">
        <w:rPr>
          <w:rFonts w:ascii="Times New Roman" w:hAnsi="Times New Roman" w:cs="Times New Roman"/>
        </w:rPr>
        <w:t>learn</w:t>
      </w:r>
      <w:r w:rsidRPr="00F74689">
        <w:rPr>
          <w:rFonts w:ascii="Times New Roman" w:hAnsi="Times New Roman" w:cs="Times New Roman"/>
        </w:rPr>
        <w:t xml:space="preserve"> better through lectures and note-taking, while some </w:t>
      </w:r>
      <w:r w:rsidR="00992101" w:rsidRPr="00F74689">
        <w:rPr>
          <w:rFonts w:ascii="Times New Roman" w:hAnsi="Times New Roman" w:cs="Times New Roman"/>
        </w:rPr>
        <w:t>prefer</w:t>
      </w:r>
      <w:r w:rsidRPr="00F74689">
        <w:rPr>
          <w:rFonts w:ascii="Times New Roman" w:hAnsi="Times New Roman" w:cs="Times New Roman"/>
        </w:rPr>
        <w:t xml:space="preserve"> simulations. That which makes sense to one </w:t>
      </w:r>
      <w:r w:rsidR="00464244" w:rsidRPr="00F74689">
        <w:rPr>
          <w:rFonts w:ascii="Times New Roman" w:hAnsi="Times New Roman" w:cs="Times New Roman"/>
        </w:rPr>
        <w:t>learner</w:t>
      </w:r>
      <w:r w:rsidRPr="00F74689">
        <w:rPr>
          <w:rFonts w:ascii="Times New Roman" w:hAnsi="Times New Roman" w:cs="Times New Roman"/>
        </w:rPr>
        <w:t xml:space="preserve"> might not be the case for another. </w:t>
      </w:r>
      <w:r w:rsidR="00992101" w:rsidRPr="00F74689">
        <w:rPr>
          <w:rFonts w:ascii="Times New Roman" w:hAnsi="Times New Roman" w:cs="Times New Roman"/>
        </w:rPr>
        <w:t>Also</w:t>
      </w:r>
      <w:r w:rsidRPr="00F74689">
        <w:rPr>
          <w:rFonts w:ascii="Times New Roman" w:hAnsi="Times New Roman" w:cs="Times New Roman"/>
        </w:rPr>
        <w:t>, other factors such as fami</w:t>
      </w:r>
      <w:r w:rsidR="00992101" w:rsidRPr="00F74689">
        <w:rPr>
          <w:rFonts w:ascii="Times New Roman" w:hAnsi="Times New Roman" w:cs="Times New Roman"/>
        </w:rPr>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w:t>
      </w:r>
      <w:r w:rsidR="00550AEE" w:rsidRPr="00F74689">
        <w:rPr>
          <w:rFonts w:ascii="Times New Roman" w:hAnsi="Times New Roman" w:cs="Times New Roman"/>
          <w:b/>
        </w:rPr>
        <w:t xml:space="preserve">F: </w:t>
      </w:r>
      <w:r w:rsidR="00DD4AAB" w:rsidRPr="00F74689">
        <w:rPr>
          <w:rFonts w:ascii="Times New Roman" w:hAnsi="Times New Roman" w:cs="Times New Roman"/>
          <w:b/>
        </w:rPr>
        <w:t>Learning</w:t>
      </w:r>
      <w:r w:rsidR="00550AEE" w:rsidRPr="00F74689">
        <w:rPr>
          <w:rFonts w:ascii="Times New Roman" w:hAnsi="Times New Roman" w:cs="Times New Roman"/>
          <w:b/>
        </w:rPr>
        <w:t xml:space="preserve"> Theories</w:t>
      </w:r>
    </w:p>
    <w:p w:rsidR="00BF636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w:t>
      </w:r>
      <w:r w:rsidR="000578F0" w:rsidRPr="00F74689">
        <w:rPr>
          <w:rFonts w:ascii="Times New Roman" w:hAnsi="Times New Roman" w:cs="Times New Roman"/>
        </w:rPr>
        <w:t>learning</w:t>
      </w:r>
      <w:r w:rsidRPr="00F74689">
        <w:rPr>
          <w:rFonts w:ascii="Times New Roman" w:hAnsi="Times New Roman" w:cs="Times New Roman"/>
        </w:rPr>
        <w:t xml:space="preserve"> theory</w:t>
      </w:r>
      <w:r w:rsidR="007E3E12" w:rsidRPr="00F74689">
        <w:rPr>
          <w:rFonts w:ascii="Times New Roman" w:hAnsi="Times New Roman" w:cs="Times New Roman"/>
        </w:rPr>
        <w:t xml:space="preserve"> that can be applied in the development of nursing education is </w:t>
      </w:r>
      <w:r w:rsidR="000578F0" w:rsidRPr="00F74689">
        <w:rPr>
          <w:rFonts w:ascii="Times New Roman" w:hAnsi="Times New Roman" w:cs="Times New Roman"/>
        </w:rPr>
        <w:t>constructivism</w:t>
      </w:r>
      <w:r w:rsidR="007E3E12" w:rsidRPr="00F74689">
        <w:rPr>
          <w:rFonts w:ascii="Times New Roman" w:hAnsi="Times New Roman" w:cs="Times New Roman"/>
        </w:rPr>
        <w:t xml:space="preserve"> theory. The theory promotes active </w:t>
      </w:r>
      <w:r w:rsidR="000578F0" w:rsidRPr="00F74689">
        <w:rPr>
          <w:rFonts w:ascii="Times New Roman" w:hAnsi="Times New Roman" w:cs="Times New Roman"/>
        </w:rPr>
        <w:t>learning</w:t>
      </w:r>
      <w:r w:rsidR="007E3E12" w:rsidRPr="00F74689">
        <w:rPr>
          <w:rFonts w:ascii="Times New Roman" w:hAnsi="Times New Roman" w:cs="Times New Roman"/>
        </w:rPr>
        <w:t xml:space="preserve"> where the learners can develop new ideas and concepts based on their knowledge</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(DeCoux Hampton, 2018)</w:t>
      </w:r>
      <w:r w:rsidR="007E3E12" w:rsidRPr="00F74689">
        <w:rPr>
          <w:rFonts w:ascii="Times New Roman" w:hAnsi="Times New Roman" w:cs="Times New Roman"/>
        </w:rPr>
        <w:t xml:space="preserve">. The </w:t>
      </w:r>
      <w:r w:rsidR="000578F0" w:rsidRPr="00F74689">
        <w:rPr>
          <w:rFonts w:ascii="Times New Roman" w:hAnsi="Times New Roman" w:cs="Times New Roman"/>
        </w:rPr>
        <w:t>constructivism</w:t>
      </w:r>
      <w:r w:rsidR="007E3E12" w:rsidRPr="00F74689">
        <w:rPr>
          <w:rFonts w:ascii="Times New Roman" w:hAnsi="Times New Roman" w:cs="Times New Roman"/>
        </w:rPr>
        <w:t xml:space="preserve"> theory fits in in education in that learners can </w:t>
      </w:r>
      <w:r w:rsidR="000578F0" w:rsidRPr="00F74689">
        <w:rPr>
          <w:rFonts w:ascii="Times New Roman" w:hAnsi="Times New Roman" w:cs="Times New Roman"/>
        </w:rPr>
        <w:t>learn</w:t>
      </w:r>
      <w:r w:rsidR="007E3E12" w:rsidRPr="00F74689">
        <w:rPr>
          <w:rFonts w:ascii="Times New Roman" w:hAnsi="Times New Roman" w:cs="Times New Roman"/>
        </w:rPr>
        <w:t xml:space="preserve"> through experience. Additionally, the theory encourages reflection on the experiences. Hence, learners can build on their representations as well as incorporate new information in the pre-existing knowledge. Accommodation is </w:t>
      </w:r>
      <w:r w:rsidR="000578F0" w:rsidRPr="00F74689">
        <w:rPr>
          <w:rFonts w:ascii="Times New Roman" w:hAnsi="Times New Roman" w:cs="Times New Roman"/>
        </w:rPr>
        <w:t>also</w:t>
      </w:r>
      <w:r w:rsidR="007E3E12" w:rsidRPr="00F74689">
        <w:rPr>
          <w:rFonts w:ascii="Times New Roman" w:hAnsi="Times New Roman" w:cs="Times New Roman"/>
        </w:rPr>
        <w:t xml:space="preserve"> a crucial commodity in</w:t>
      </w:r>
      <w:r w:rsidR="00B44536" w:rsidRPr="00F74689">
        <w:rPr>
          <w:rFonts w:ascii="Times New Roman" w:hAnsi="Times New Roman" w:cs="Times New Roman"/>
        </w:rPr>
        <w:t xml:space="preserve"> the</w:t>
      </w:r>
      <w:r w:rsidR="007E3E12" w:rsidRPr="00F74689">
        <w:rPr>
          <w:rFonts w:ascii="Times New Roman" w:hAnsi="Times New Roman" w:cs="Times New Roman"/>
        </w:rPr>
        <w:t xml:space="preserve">ory. This means that the </w:t>
      </w:r>
      <w:r w:rsidR="000578F0" w:rsidRPr="00F74689">
        <w:rPr>
          <w:rFonts w:ascii="Times New Roman" w:hAnsi="Times New Roman" w:cs="Times New Roman"/>
        </w:rPr>
        <w:t>learning</w:t>
      </w:r>
      <w:r w:rsidR="007E3E12" w:rsidRPr="00F74689">
        <w:rPr>
          <w:rFonts w:ascii="Times New Roman" w:hAnsi="Times New Roman" w:cs="Times New Roman"/>
        </w:rPr>
        <w:t xml:space="preserve"> environment accommodates all learners regardless of their ethnic backgrounds, langua</w:t>
      </w:r>
      <w:r w:rsidR="00B44536" w:rsidRPr="00F74689">
        <w:rPr>
          <w:rFonts w:ascii="Times New Roman" w:hAnsi="Times New Roman" w:cs="Times New Roman"/>
        </w:rPr>
        <w:t xml:space="preserve">ge, or abilities. Besides, </w:t>
      </w:r>
      <w:r w:rsidR="007E3E12" w:rsidRPr="00F74689">
        <w:rPr>
          <w:rFonts w:ascii="Times New Roman" w:hAnsi="Times New Roman" w:cs="Times New Roman"/>
        </w:rPr>
        <w:t xml:space="preserve">students who </w:t>
      </w:r>
      <w:r w:rsidR="000578F0" w:rsidRPr="00F74689">
        <w:rPr>
          <w:rFonts w:ascii="Times New Roman" w:hAnsi="Times New Roman" w:cs="Times New Roman"/>
        </w:rPr>
        <w:t>learn</w:t>
      </w:r>
      <w:r w:rsidR="007E3E12" w:rsidRPr="00F74689">
        <w:rPr>
          <w:rFonts w:ascii="Times New Roman" w:hAnsi="Times New Roman" w:cs="Times New Roman"/>
        </w:rPr>
        <w:t xml:space="preserve"> best through </w:t>
      </w:r>
      <w:r w:rsidR="000578F0" w:rsidRPr="00F74689">
        <w:rPr>
          <w:rFonts w:ascii="Times New Roman" w:hAnsi="Times New Roman" w:cs="Times New Roman"/>
        </w:rPr>
        <w:t>experiences</w:t>
      </w:r>
      <w:r w:rsidR="007E3E12" w:rsidRPr="00F74689">
        <w:rPr>
          <w:rFonts w:ascii="Times New Roman" w:hAnsi="Times New Roman" w:cs="Times New Roman"/>
        </w:rPr>
        <w:t xml:space="preserve"> and those who prefer receiving the information benefit from the </w:t>
      </w:r>
      <w:r w:rsidR="000578F0" w:rsidRPr="00F74689">
        <w:rPr>
          <w:rFonts w:ascii="Times New Roman" w:hAnsi="Times New Roman" w:cs="Times New Roman"/>
        </w:rPr>
        <w:t>theory?</w:t>
      </w:r>
      <w:r w:rsidR="007E3E12" w:rsidRPr="00F74689">
        <w:rPr>
          <w:rFonts w:ascii="Times New Roman" w:hAnsi="Times New Roman" w:cs="Times New Roman"/>
        </w:rPr>
        <w:t xml:space="preserve"> Because it is impossible to </w:t>
      </w:r>
      <w:r w:rsidR="000578F0" w:rsidRPr="00F74689">
        <w:rPr>
          <w:rFonts w:ascii="Times New Roman" w:hAnsi="Times New Roman" w:cs="Times New Roman"/>
        </w:rPr>
        <w:t>impart</w:t>
      </w:r>
      <w:r w:rsidR="007E3E12" w:rsidRPr="00F74689">
        <w:rPr>
          <w:rFonts w:ascii="Times New Roman" w:hAnsi="Times New Roman" w:cs="Times New Roman"/>
        </w:rPr>
        <w:t xml:space="preserve"> </w:t>
      </w:r>
      <w:r w:rsidR="000578F0" w:rsidRPr="00F74689">
        <w:rPr>
          <w:rFonts w:ascii="Times New Roman" w:hAnsi="Times New Roman" w:cs="Times New Roman"/>
        </w:rPr>
        <w:t>learning</w:t>
      </w:r>
      <w:r w:rsidR="007E3E12" w:rsidRPr="00F74689">
        <w:rPr>
          <w:rFonts w:ascii="Times New Roman" w:hAnsi="Times New Roman" w:cs="Times New Roman"/>
        </w:rPr>
        <w:t xml:space="preserve"> to students, the theory's main goal</w:t>
      </w:r>
      <w:r w:rsidR="000578F0" w:rsidRPr="00F74689">
        <w:rPr>
          <w:rFonts w:ascii="Times New Roman" w:hAnsi="Times New Roman" w:cs="Times New Roman"/>
        </w:rPr>
        <w:t xml:space="preserve"> is to develop experiences</w:t>
      </w:r>
      <w:r w:rsidR="007E3E12" w:rsidRPr="00F74689">
        <w:rPr>
          <w:rFonts w:ascii="Times New Roman" w:hAnsi="Times New Roman" w:cs="Times New Roman"/>
        </w:rPr>
        <w:t xml:space="preserve"> that </w:t>
      </w:r>
      <w:r w:rsidR="000578F0" w:rsidRPr="00F74689">
        <w:rPr>
          <w:rFonts w:ascii="Times New Roman" w:hAnsi="Times New Roman" w:cs="Times New Roman"/>
        </w:rPr>
        <w:t>facilitate</w:t>
      </w:r>
      <w:r w:rsidR="007E3E12" w:rsidRPr="00F74689">
        <w:rPr>
          <w:rFonts w:ascii="Times New Roman" w:hAnsi="Times New Roman" w:cs="Times New Roman"/>
        </w:rPr>
        <w:t xml:space="preserve"> knowledge construction. </w:t>
      </w:r>
    </w:p>
    <w:p w:rsidR="000412CD" w:rsidRPr="00F74689" w:rsidRDefault="00044A2E" w:rsidP="00264A54">
      <w:pPr>
        <w:spacing w:line="480" w:lineRule="auto"/>
        <w:jc w:val="center"/>
        <w:rPr>
          <w:rFonts w:ascii="Times New Roman" w:hAnsi="Times New Roman" w:cs="Times New Roman"/>
          <w:b/>
        </w:rPr>
      </w:pPr>
      <w:r w:rsidRPr="00F74689">
        <w:rPr>
          <w:rFonts w:ascii="Times New Roman" w:hAnsi="Times New Roman" w:cs="Times New Roman"/>
          <w:b/>
        </w:rPr>
        <w:t>References</w:t>
      </w:r>
    </w:p>
    <w:p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shd w:val="clear" w:color="auto" w:fill="FFFFFF"/>
        </w:rPr>
        <w:t>Adya, M., Temple, B., &amp; H</w:t>
      </w:r>
      <w:r w:rsidR="00AC6F5C" w:rsidRPr="00F74689">
        <w:rPr>
          <w:rFonts w:ascii="Times New Roman" w:hAnsi="Times New Roman" w:cs="Times New Roman"/>
          <w:shd w:val="clear" w:color="auto" w:fill="FFFFFF"/>
        </w:rPr>
        <w:t>epburn, D. (2015). Distant yet n</w:t>
      </w:r>
      <w:r w:rsidRPr="00F74689">
        <w:rPr>
          <w:rFonts w:ascii="Times New Roman" w:hAnsi="Times New Roman" w:cs="Times New Roman"/>
          <w:shd w:val="clear" w:color="auto" w:fill="FFFFFF"/>
        </w:rPr>
        <w:t xml:space="preserve">ear: </w:t>
      </w:r>
      <w:r w:rsidR="00C63B43" w:rsidRPr="00F74689">
        <w:rPr>
          <w:rFonts w:ascii="Times New Roman" w:hAnsi="Times New Roman" w:cs="Times New Roman"/>
          <w:shd w:val="clear" w:color="auto" w:fill="FFFFFF"/>
        </w:rPr>
        <w:t>promoting interdisciplinary learning in significantly diverse teams through socially responsible projects</w:t>
      </w:r>
      <w:r w:rsidRPr="00F74689">
        <w:rPr>
          <w:rFonts w:ascii="Times New Roman" w:hAnsi="Times New Roman" w:cs="Times New Roman"/>
          <w:shd w:val="clear" w:color="auto" w:fill="FFFFFF"/>
        </w:rPr>
        <w:t>. </w:t>
      </w:r>
      <w:r w:rsidR="00C63B43" w:rsidRPr="00F74689">
        <w:rPr>
          <w:rFonts w:ascii="Times New Roman" w:hAnsi="Times New Roman" w:cs="Times New Roman"/>
          <w:i/>
          <w:iCs/>
          <w:shd w:val="clear" w:color="auto" w:fill="FFFFFF"/>
        </w:rPr>
        <w:t>Decision Sciences Journal of</w:t>
      </w:r>
      <w:r w:rsidRPr="00F74689">
        <w:rPr>
          <w:rFonts w:ascii="Times New Roman" w:hAnsi="Times New Roman" w:cs="Times New Roman"/>
          <w:i/>
          <w:iCs/>
          <w:shd w:val="clear" w:color="auto" w:fill="FFFFFF"/>
        </w:rPr>
        <w:t xml:space="preserve"> Innovative Education</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13</w:t>
      </w:r>
      <w:r w:rsidRPr="00F74689">
        <w:rPr>
          <w:rFonts w:ascii="Times New Roman" w:hAnsi="Times New Roman" w:cs="Times New Roman"/>
          <w:shd w:val="clear" w:color="auto" w:fill="FFFFFF"/>
        </w:rPr>
        <w:t xml:space="preserve">(2), 121-149. </w:t>
      </w:r>
      <w:hyperlink r:id="rId9" w:history="1">
        <w:r w:rsidRPr="00F74689">
          <w:rPr>
            <w:rStyle w:val="Hyperlink"/>
            <w:rFonts w:ascii="Times New Roman" w:hAnsi="Times New Roman" w:cs="Times New Roman"/>
            <w:color w:val="auto"/>
            <w:shd w:val="clear" w:color="auto" w:fill="FFFFFF"/>
          </w:rPr>
          <w:t>https://doi.org/10.1111/dsji.12058</w:t>
        </w:r>
      </w:hyperlink>
    </w:p>
    <w:p w:rsidR="00436709"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color w:val="000000"/>
          <w:shd w:val="clear" w:color="auto" w:fill="FFFFFF"/>
        </w:rPr>
        <w:t>Ali, L., Shabaan, F.,</w:t>
      </w:r>
      <w:r w:rsidR="00AC6F5C" w:rsidRPr="00F74689">
        <w:rPr>
          <w:rFonts w:ascii="Times New Roman" w:hAnsi="Times New Roman" w:cs="Times New Roman"/>
          <w:color w:val="000000"/>
          <w:shd w:val="clear" w:color="auto" w:fill="FFFFFF"/>
        </w:rPr>
        <w:t xml:space="preserve"> &amp; Gad, R. (2019). Efficacy of teaching p</w:t>
      </w:r>
      <w:r w:rsidRPr="00F74689">
        <w:rPr>
          <w:rFonts w:ascii="Times New Roman" w:hAnsi="Times New Roman" w:cs="Times New Roman"/>
          <w:color w:val="000000"/>
          <w:shd w:val="clear" w:color="auto" w:fill="FFFFFF"/>
        </w:rPr>
        <w:t xml:space="preserve">rogram </w:t>
      </w:r>
      <w:r w:rsidR="00AC6F5C" w:rsidRPr="00F74689">
        <w:rPr>
          <w:rFonts w:ascii="Times New Roman" w:hAnsi="Times New Roman" w:cs="Times New Roman"/>
          <w:color w:val="000000"/>
          <w:shd w:val="clear" w:color="auto" w:fill="FFFFFF"/>
        </w:rPr>
        <w:t>about efficient patient communication using role-play s</w:t>
      </w:r>
      <w:r w:rsidRPr="00F74689">
        <w:rPr>
          <w:rFonts w:ascii="Times New Roman" w:hAnsi="Times New Roman" w:cs="Times New Roman"/>
          <w:color w:val="000000"/>
          <w:shd w:val="clear" w:color="auto" w:fill="FFFFFF"/>
        </w:rPr>
        <w:t>trategy on Technical Nursing Students’ Practice. </w:t>
      </w:r>
      <w:r w:rsidRPr="00F74689">
        <w:rPr>
          <w:rFonts w:ascii="Times New Roman" w:hAnsi="Times New Roman" w:cs="Times New Roman"/>
          <w:i/>
          <w:iCs/>
          <w:color w:val="000000"/>
          <w:shd w:val="clear" w:color="auto" w:fill="FFFFFF"/>
        </w:rPr>
        <w:t>Tanta Scientific Nursing Journal</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17</w:t>
      </w:r>
      <w:r w:rsidRPr="00F74689">
        <w:rPr>
          <w:rFonts w:ascii="Times New Roman" w:hAnsi="Times New Roman" w:cs="Times New Roman"/>
          <w:color w:val="000000"/>
          <w:shd w:val="clear" w:color="auto" w:fill="FFFFFF"/>
        </w:rPr>
        <w:t>(2), 58-98. https://doi.org/10.21608/tsnj.2019.71519</w:t>
      </w:r>
    </w:p>
    <w:p w:rsidR="00C63B43"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Aprita, Y., &amp; Sari, A. (2016). Improving students’ motivation of learning using blended learning strategy facilitated with Vark learning style model. </w:t>
      </w:r>
      <w:r w:rsidRPr="00F74689">
        <w:rPr>
          <w:rFonts w:ascii="Times New Roman" w:hAnsi="Times New Roman" w:cs="Times New Roman"/>
          <w:i/>
          <w:iCs/>
          <w:shd w:val="clear" w:color="auto" w:fill="FFFFFF"/>
        </w:rPr>
        <w:t>Jurnal Pendidikan Akuntansi Indonesia</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12</w:t>
      </w:r>
      <w:r w:rsidR="00AC6F5C" w:rsidRPr="00F74689">
        <w:rPr>
          <w:rFonts w:ascii="Times New Roman" w:hAnsi="Times New Roman" w:cs="Times New Roman"/>
          <w:shd w:val="clear" w:color="auto" w:fill="FFFFFF"/>
        </w:rPr>
        <w:t>( 2</w:t>
      </w:r>
      <w:r w:rsidRPr="00F74689">
        <w:rPr>
          <w:rFonts w:ascii="Times New Roman" w:hAnsi="Times New Roman" w:cs="Times New Roman"/>
          <w:shd w:val="clear" w:color="auto" w:fill="FFFFFF"/>
        </w:rPr>
        <w:t>).</w:t>
      </w:r>
      <w:r w:rsidR="00AC6F5C" w:rsidRPr="00F74689">
        <w:rPr>
          <w:rFonts w:ascii="Times New Roman" w:hAnsi="Times New Roman" w:cs="Times New Roman"/>
          <w:shd w:val="clear" w:color="auto" w:fill="FFFFFF"/>
        </w:rPr>
        <w:t xml:space="preserve"> 33-77. </w:t>
      </w:r>
      <w:r w:rsidRPr="00F74689">
        <w:rPr>
          <w:rFonts w:ascii="Times New Roman" w:hAnsi="Times New Roman" w:cs="Times New Roman"/>
          <w:shd w:val="clear" w:color="auto" w:fill="FFFFFF"/>
        </w:rPr>
        <w:t xml:space="preserve"> https://doi.org/10.21831/jpai.v12i2.2705</w:t>
      </w:r>
    </w:p>
    <w:p w:rsidR="000412CD"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Bolton, J. (2015). Varieties of clinical reasoning. </w:t>
      </w:r>
      <w:r w:rsidRPr="00F74689">
        <w:rPr>
          <w:rFonts w:ascii="Times New Roman" w:hAnsi="Times New Roman" w:cs="Times New Roman"/>
          <w:i/>
          <w:iCs/>
          <w:shd w:val="clear" w:color="auto" w:fill="FFFFFF"/>
        </w:rPr>
        <w:t xml:space="preserve">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Evaluation </w:t>
      </w:r>
      <w:r w:rsidR="00C63B43" w:rsidRPr="00F74689">
        <w:rPr>
          <w:rFonts w:ascii="Times New Roman" w:hAnsi="Times New Roman" w:cs="Times New Roman"/>
          <w:i/>
          <w:iCs/>
          <w:shd w:val="clear" w:color="auto" w:fill="FFFFFF"/>
        </w:rPr>
        <w:t>in</w:t>
      </w:r>
      <w:r w:rsidRPr="00F74689">
        <w:rPr>
          <w:rFonts w:ascii="Times New Roman" w:hAnsi="Times New Roman" w:cs="Times New Roman"/>
          <w:i/>
          <w:iCs/>
          <w:shd w:val="clear" w:color="auto" w:fill="FFFFFF"/>
        </w:rPr>
        <w:t xml:space="preserve"> Clinical Practice</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21</w:t>
      </w:r>
      <w:r w:rsidRPr="00F74689">
        <w:rPr>
          <w:rFonts w:ascii="Times New Roman" w:hAnsi="Times New Roman" w:cs="Times New Roman"/>
          <w:shd w:val="clear" w:color="auto" w:fill="FFFFFF"/>
        </w:rPr>
        <w:t xml:space="preserve">(3), 486-489. </w:t>
      </w:r>
      <w:hyperlink r:id="rId10" w:history="1">
        <w:r w:rsidRPr="00F74689">
          <w:rPr>
            <w:rStyle w:val="Hyperlink"/>
            <w:rFonts w:ascii="Times New Roman" w:hAnsi="Times New Roman" w:cs="Times New Roman"/>
            <w:color w:val="auto"/>
            <w:shd w:val="clear" w:color="auto" w:fill="FFFFFF"/>
          </w:rPr>
          <w:t>https://doi.org/10.1111/jep.12309</w:t>
        </w:r>
      </w:hyperlink>
    </w:p>
    <w:p w:rsidR="000412CD"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Boonprakong, A. (2017). Clinical</w:t>
      </w:r>
      <w:r w:rsidR="00AC6F5C" w:rsidRPr="00F74689">
        <w:rPr>
          <w:rFonts w:ascii="Times New Roman" w:hAnsi="Times New Roman" w:cs="Times New Roman"/>
          <w:shd w:val="clear" w:color="auto" w:fill="FFFFFF"/>
        </w:rPr>
        <w:t xml:space="preserve"> imaging: an Atlas of differential d</w:t>
      </w:r>
      <w:r w:rsidR="00550AEE" w:rsidRPr="00F74689">
        <w:rPr>
          <w:rFonts w:ascii="Times New Roman" w:hAnsi="Times New Roman" w:cs="Times New Roman"/>
          <w:shd w:val="clear" w:color="auto" w:fill="FFFFFF"/>
        </w:rPr>
        <w:t xml:space="preserve">iagnosis, 5th ed. By Ronald L. Eisenberg. Philadelphia, PA: Lippincott Williams &amp; Wilkins, 1600 pp., 2010. </w:t>
      </w:r>
      <w:r w:rsidR="00550AEE" w:rsidRPr="00F74689">
        <w:rPr>
          <w:rFonts w:ascii="Times New Roman" w:hAnsi="Times New Roman" w:cs="Times New Roman"/>
          <w:i/>
          <w:iCs/>
          <w:shd w:val="clear" w:color="auto" w:fill="FFFFFF"/>
        </w:rPr>
        <w:t xml:space="preserve">American Journal </w:t>
      </w:r>
      <w:r w:rsidRPr="00F74689">
        <w:rPr>
          <w:rFonts w:ascii="Times New Roman" w:hAnsi="Times New Roman" w:cs="Times New Roman"/>
          <w:i/>
          <w:iCs/>
          <w:shd w:val="clear" w:color="auto" w:fill="FFFFFF"/>
        </w:rPr>
        <w:t>of</w:t>
      </w:r>
      <w:r w:rsidR="00550AEE" w:rsidRPr="00F74689">
        <w:rPr>
          <w:rFonts w:ascii="Times New Roman" w:hAnsi="Times New Roman" w:cs="Times New Roman"/>
          <w:i/>
          <w:iCs/>
          <w:shd w:val="clear" w:color="auto" w:fill="FFFFFF"/>
        </w:rPr>
        <w:t xml:space="preserve"> Roentgenology</w:t>
      </w:r>
      <w:r w:rsidR="00550AEE" w:rsidRPr="00F74689">
        <w:rPr>
          <w:rFonts w:ascii="Times New Roman" w:hAnsi="Times New Roman" w:cs="Times New Roman"/>
          <w:shd w:val="clear" w:color="auto" w:fill="FFFFFF"/>
        </w:rPr>
        <w:t>, </w:t>
      </w:r>
      <w:r w:rsidR="00550AEE" w:rsidRPr="00F74689">
        <w:rPr>
          <w:rFonts w:ascii="Times New Roman" w:hAnsi="Times New Roman" w:cs="Times New Roman"/>
          <w:i/>
          <w:iCs/>
          <w:shd w:val="clear" w:color="auto" w:fill="FFFFFF"/>
        </w:rPr>
        <w:t>196</w:t>
      </w:r>
      <w:r w:rsidR="00550AEE" w:rsidRPr="00F74689">
        <w:rPr>
          <w:rFonts w:ascii="Times New Roman" w:hAnsi="Times New Roman" w:cs="Times New Roman"/>
          <w:shd w:val="clear" w:color="auto" w:fill="FFFFFF"/>
        </w:rPr>
        <w:t xml:space="preserve">(6), W852-W852. </w:t>
      </w:r>
      <w:hyperlink r:id="rId11" w:history="1">
        <w:r w:rsidR="00550AEE" w:rsidRPr="00F74689">
          <w:rPr>
            <w:rStyle w:val="Hyperlink"/>
            <w:rFonts w:ascii="Times New Roman" w:hAnsi="Times New Roman" w:cs="Times New Roman"/>
            <w:color w:val="auto"/>
            <w:shd w:val="clear" w:color="auto" w:fill="FFFFFF"/>
          </w:rPr>
          <w:t>https://doi.org/10.2214/ajr.10.6107</w:t>
        </w:r>
      </w:hyperlink>
    </w:p>
    <w:p w:rsidR="000412CD"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 xml:space="preserve">DeCoux Hampton, M. (2018). Constructivism applied to psychiatric-mental health nursing: An alternative to supplementing traditional clinical education. </w:t>
      </w:r>
      <w:r w:rsidRPr="00F74689">
        <w:rPr>
          <w:rFonts w:ascii="Times New Roman" w:hAnsi="Times New Roman" w:cs="Times New Roman"/>
          <w:i/>
          <w:iCs/>
          <w:shd w:val="clear" w:color="auto" w:fill="FFFFFF"/>
        </w:rPr>
        <w:t xml:space="preserve">International 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Mental Health Nursing</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21</w:t>
      </w:r>
      <w:r w:rsidRPr="00F74689">
        <w:rPr>
          <w:rFonts w:ascii="Times New Roman" w:hAnsi="Times New Roman" w:cs="Times New Roman"/>
          <w:shd w:val="clear" w:color="auto" w:fill="FFFFFF"/>
        </w:rPr>
        <w:t xml:space="preserve">(1), 60-68. </w:t>
      </w:r>
      <w:hyperlink r:id="rId12" w:history="1">
        <w:r w:rsidRPr="00F74689">
          <w:rPr>
            <w:rStyle w:val="Hyperlink"/>
            <w:rFonts w:ascii="Times New Roman" w:hAnsi="Times New Roman" w:cs="Times New Roman"/>
            <w:color w:val="auto"/>
            <w:shd w:val="clear" w:color="auto" w:fill="FFFFFF"/>
          </w:rPr>
          <w:t>https://doi.org/10.1111/j.1447-0349.2011.00755.x</w:t>
        </w:r>
      </w:hyperlink>
    </w:p>
    <w:p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shd w:val="clear" w:color="auto" w:fill="FFFFFF"/>
        </w:rPr>
        <w:t xml:space="preserve">Hughes, S. (2012). Kozier and Erb’s Fundamentals of Nursing: Concepts, Process, and Practice. </w:t>
      </w:r>
      <w:r w:rsidRPr="00F74689">
        <w:rPr>
          <w:rFonts w:ascii="Times New Roman" w:hAnsi="Times New Roman" w:cs="Times New Roman"/>
          <w:i/>
          <w:iCs/>
          <w:shd w:val="clear" w:color="auto" w:fill="FFFFFF"/>
        </w:rPr>
        <w:t xml:space="preserve">Nurse Education </w:t>
      </w:r>
      <w:r w:rsidR="00C63B43" w:rsidRPr="00F74689">
        <w:rPr>
          <w:rFonts w:ascii="Times New Roman" w:hAnsi="Times New Roman" w:cs="Times New Roman"/>
          <w:i/>
          <w:iCs/>
          <w:shd w:val="clear" w:color="auto" w:fill="FFFFFF"/>
        </w:rPr>
        <w:t>in</w:t>
      </w:r>
      <w:r w:rsidRPr="00F74689">
        <w:rPr>
          <w:rFonts w:ascii="Times New Roman" w:hAnsi="Times New Roman" w:cs="Times New Roman"/>
          <w:i/>
          <w:iCs/>
          <w:shd w:val="clear" w:color="auto" w:fill="FFFFFF"/>
        </w:rPr>
        <w:t xml:space="preserve"> Practice</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12</w:t>
      </w:r>
      <w:r w:rsidRPr="00F74689">
        <w:rPr>
          <w:rFonts w:ascii="Times New Roman" w:hAnsi="Times New Roman" w:cs="Times New Roman"/>
          <w:shd w:val="clear" w:color="auto" w:fill="FFFFFF"/>
        </w:rPr>
        <w:t xml:space="preserve">(2), e12. </w:t>
      </w:r>
      <w:hyperlink r:id="rId13" w:history="1">
        <w:r w:rsidRPr="00F74689">
          <w:rPr>
            <w:rStyle w:val="Hyperlink"/>
            <w:rFonts w:ascii="Times New Roman" w:hAnsi="Times New Roman" w:cs="Times New Roman"/>
            <w:color w:val="auto"/>
            <w:shd w:val="clear" w:color="auto" w:fill="FFFFFF"/>
          </w:rPr>
          <w:t>https://doi.org/10.1016/j.nepr.2011.09.002</w:t>
        </w:r>
      </w:hyperlink>
    </w:p>
    <w:p w:rsidR="00C63B43" w:rsidRPr="00F74689" w:rsidRDefault="00044A2E" w:rsidP="00F74689">
      <w:pPr>
        <w:spacing w:line="480" w:lineRule="auto"/>
        <w:ind w:left="720" w:hanging="720"/>
        <w:jc w:val="both"/>
        <w:rPr>
          <w:rStyle w:val="Hyperlink"/>
          <w:rFonts w:ascii="Times New Roman" w:hAnsi="Times New Roman" w:cs="Times New Roman"/>
          <w:shd w:val="clear" w:color="auto" w:fill="FFFFFF"/>
        </w:rPr>
      </w:pPr>
      <w:r w:rsidRPr="00F74689">
        <w:rPr>
          <w:rFonts w:ascii="Times New Roman" w:hAnsi="Times New Roman" w:cs="Times New Roman"/>
          <w:shd w:val="clear" w:color="auto" w:fill="FFFFFF"/>
        </w:rPr>
        <w:t>Hukom, S. (2020). The Use of Small Group Discussion Strategy in Teaching Writing. </w:t>
      </w:r>
      <w:r w:rsidRPr="00F74689">
        <w:rPr>
          <w:rFonts w:ascii="Times New Roman" w:hAnsi="Times New Roman" w:cs="Times New Roman"/>
          <w:i/>
          <w:iCs/>
          <w:shd w:val="clear" w:color="auto" w:fill="FFFFFF"/>
        </w:rPr>
        <w:t>JURNAL TAHURI</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17</w:t>
      </w:r>
      <w:r w:rsidRPr="00F74689">
        <w:rPr>
          <w:rFonts w:ascii="Times New Roman" w:hAnsi="Times New Roman" w:cs="Times New Roman"/>
          <w:shd w:val="clear" w:color="auto" w:fill="FFFFFF"/>
        </w:rPr>
        <w:t xml:space="preserve">(2), 63-71. </w:t>
      </w:r>
      <w:hyperlink r:id="rId14" w:history="1">
        <w:r w:rsidRPr="00F74689">
          <w:rPr>
            <w:rStyle w:val="Hyperlink"/>
            <w:rFonts w:ascii="Times New Roman" w:hAnsi="Times New Roman" w:cs="Times New Roman"/>
            <w:shd w:val="clear" w:color="auto" w:fill="FFFFFF"/>
          </w:rPr>
          <w:t>https://doi.org/10.30598/tahurivol17issue2page63-71</w:t>
        </w:r>
      </w:hyperlink>
    </w:p>
    <w:p w:rsidR="003C15D3" w:rsidRPr="00F74689" w:rsidRDefault="00044A2E" w:rsidP="00F74689">
      <w:pPr>
        <w:spacing w:line="480" w:lineRule="auto"/>
        <w:ind w:left="720" w:hanging="720"/>
        <w:jc w:val="both"/>
        <w:rPr>
          <w:rFonts w:ascii="Times New Roman" w:hAnsi="Times New Roman" w:cs="Times New Roman"/>
          <w:color w:val="000000"/>
          <w:shd w:val="clear" w:color="auto" w:fill="FFFFFF"/>
        </w:rPr>
      </w:pPr>
      <w:r w:rsidRPr="00F74689">
        <w:rPr>
          <w:rFonts w:ascii="Times New Roman" w:hAnsi="Times New Roman" w:cs="Times New Roman"/>
          <w:color w:val="000000"/>
          <w:shd w:val="clear" w:color="auto" w:fill="FFFFFF"/>
        </w:rPr>
        <w:t>James, N. (2018). Using Narrative Inquiry to Explore the Experience of One Ethnically Diverse ESL Nursing Student. </w:t>
      </w:r>
      <w:r w:rsidRPr="00F74689">
        <w:rPr>
          <w:rFonts w:ascii="Times New Roman" w:hAnsi="Times New Roman" w:cs="Times New Roman"/>
          <w:i/>
          <w:iCs/>
          <w:color w:val="000000"/>
          <w:shd w:val="clear" w:color="auto" w:fill="FFFFFF"/>
        </w:rPr>
        <w:t xml:space="preserve">Teaching </w:t>
      </w:r>
      <w:r w:rsidR="0034536C" w:rsidRPr="00F74689">
        <w:rPr>
          <w:rFonts w:ascii="Times New Roman" w:hAnsi="Times New Roman" w:cs="Times New Roman"/>
          <w:i/>
          <w:iCs/>
          <w:color w:val="000000"/>
          <w:shd w:val="clear" w:color="auto" w:fill="FFFFFF"/>
        </w:rPr>
        <w:t>and</w:t>
      </w:r>
      <w:r w:rsidRPr="00F74689">
        <w:rPr>
          <w:rFonts w:ascii="Times New Roman" w:hAnsi="Times New Roman" w:cs="Times New Roman"/>
          <w:i/>
          <w:iCs/>
          <w:color w:val="000000"/>
          <w:shd w:val="clear" w:color="auto" w:fill="FFFFFF"/>
        </w:rPr>
        <w:t xml:space="preserve"> Learning </w:t>
      </w:r>
      <w:r w:rsidR="00DD6C0B" w:rsidRPr="00F74689">
        <w:rPr>
          <w:rFonts w:ascii="Times New Roman" w:hAnsi="Times New Roman" w:cs="Times New Roman"/>
          <w:i/>
          <w:iCs/>
          <w:color w:val="000000"/>
          <w:shd w:val="clear" w:color="auto" w:fill="FFFFFF"/>
        </w:rPr>
        <w:t>in</w:t>
      </w:r>
      <w:r w:rsidRPr="00F74689">
        <w:rPr>
          <w:rFonts w:ascii="Times New Roman" w:hAnsi="Times New Roman" w:cs="Times New Roman"/>
          <w:i/>
          <w:iCs/>
          <w:color w:val="000000"/>
          <w:shd w:val="clear" w:color="auto" w:fill="FFFFFF"/>
        </w:rPr>
        <w:t xml:space="preserve"> Nursing</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13</w:t>
      </w:r>
      <w:r w:rsidRPr="00F74689">
        <w:rPr>
          <w:rFonts w:ascii="Times New Roman" w:hAnsi="Times New Roman" w:cs="Times New Roman"/>
          <w:color w:val="000000"/>
          <w:shd w:val="clear" w:color="auto" w:fill="FFFFFF"/>
        </w:rPr>
        <w:t xml:space="preserve">(1), 35-40. </w:t>
      </w:r>
      <w:hyperlink r:id="rId15" w:history="1">
        <w:r w:rsidR="00BB48FC" w:rsidRPr="00F74689">
          <w:rPr>
            <w:rStyle w:val="Hyperlink"/>
            <w:rFonts w:ascii="Times New Roman" w:hAnsi="Times New Roman" w:cs="Times New Roman"/>
            <w:shd w:val="clear" w:color="auto" w:fill="FFFFFF"/>
          </w:rPr>
          <w:t>https://doi.org/10.1016/j.teln.2017.08.002</w:t>
        </w:r>
      </w:hyperlink>
    </w:p>
    <w:p w:rsidR="00BB48FC" w:rsidRPr="00F74689" w:rsidRDefault="00044A2E" w:rsidP="00F74689">
      <w:pPr>
        <w:spacing w:line="480" w:lineRule="auto"/>
        <w:ind w:left="720" w:hanging="720"/>
        <w:jc w:val="both"/>
        <w:rPr>
          <w:rStyle w:val="Hyperlink"/>
          <w:rFonts w:ascii="Times New Roman" w:hAnsi="Times New Roman" w:cs="Times New Roman"/>
          <w:shd w:val="clear" w:color="auto" w:fill="FFFFFF"/>
        </w:rPr>
      </w:pPr>
      <w:r w:rsidRPr="00F74689">
        <w:rPr>
          <w:rFonts w:ascii="Times New Roman" w:hAnsi="Times New Roman" w:cs="Times New Roman"/>
          <w:color w:val="000000"/>
          <w:shd w:val="clear" w:color="auto" w:fill="FFFFFF"/>
        </w:rPr>
        <w:t>Jr., R. (2018). On Teaching Sampling: A Classroom Demonstration of Concepts, Principles, and Techniques. </w:t>
      </w:r>
      <w:r w:rsidRPr="00F74689">
        <w:rPr>
          <w:rFonts w:ascii="Times New Roman" w:hAnsi="Times New Roman" w:cs="Times New Roman"/>
          <w:i/>
          <w:iCs/>
          <w:color w:val="000000"/>
          <w:shd w:val="clear" w:color="auto" w:fill="FFFFFF"/>
        </w:rPr>
        <w:t>Teaching Sociology</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17</w:t>
      </w:r>
      <w:r w:rsidRPr="00F74689">
        <w:rPr>
          <w:rFonts w:ascii="Times New Roman" w:hAnsi="Times New Roman" w:cs="Times New Roman"/>
          <w:color w:val="000000"/>
          <w:shd w:val="clear" w:color="auto" w:fill="FFFFFF"/>
        </w:rPr>
        <w:t>(3), 351. https://doi.org/10.2307/1318084</w:t>
      </w:r>
    </w:p>
    <w:p w:rsidR="005C0B75"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color w:val="222222"/>
          <w:shd w:val="clear" w:color="auto" w:fill="FFFFFF"/>
        </w:rPr>
        <w:t>Morrison-Beedy, D., &amp; Côté-Arsenault, D. (2000). The cookie experiment revisited: broadened dimensions for teaching nursing research. </w:t>
      </w:r>
      <w:r w:rsidRPr="00F74689">
        <w:rPr>
          <w:rFonts w:ascii="Times New Roman" w:hAnsi="Times New Roman" w:cs="Times New Roman"/>
          <w:i/>
          <w:iCs/>
          <w:color w:val="222222"/>
          <w:shd w:val="clear" w:color="auto" w:fill="FFFFFF"/>
        </w:rPr>
        <w:t>Nurse Educator</w:t>
      </w:r>
      <w:r w:rsidRPr="00F74689">
        <w:rPr>
          <w:rFonts w:ascii="Times New Roman" w:hAnsi="Times New Roman" w:cs="Times New Roman"/>
          <w:color w:val="222222"/>
          <w:shd w:val="clear" w:color="auto" w:fill="FFFFFF"/>
        </w:rPr>
        <w:t>, </w:t>
      </w:r>
      <w:r w:rsidRPr="00F74689">
        <w:rPr>
          <w:rFonts w:ascii="Times New Roman" w:hAnsi="Times New Roman" w:cs="Times New Roman"/>
          <w:i/>
          <w:iCs/>
          <w:color w:val="222222"/>
          <w:shd w:val="clear" w:color="auto" w:fill="FFFFFF"/>
        </w:rPr>
        <w:t>25</w:t>
      </w:r>
      <w:r w:rsidRPr="00F74689">
        <w:rPr>
          <w:rFonts w:ascii="Times New Roman" w:hAnsi="Times New Roman" w:cs="Times New Roman"/>
          <w:color w:val="222222"/>
          <w:shd w:val="clear" w:color="auto" w:fill="FFFFFF"/>
        </w:rPr>
        <w:t>(6), 294-296.</w:t>
      </w:r>
    </w:p>
    <w:p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shd w:val="clear" w:color="auto" w:fill="FFFFFF"/>
        </w:rPr>
        <w:t>Schick, L. (2020). Breaking frame in a role-play simulation: A language socialization perspective. </w:t>
      </w:r>
      <w:r w:rsidRPr="00F74689">
        <w:rPr>
          <w:rFonts w:ascii="Times New Roman" w:hAnsi="Times New Roman" w:cs="Times New Roman"/>
          <w:i/>
          <w:iCs/>
          <w:shd w:val="clear" w:color="auto" w:fill="FFFFFF"/>
        </w:rPr>
        <w:t>Simulation &amp; Gaming</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39</w:t>
      </w:r>
      <w:r w:rsidR="00C63B43" w:rsidRPr="00F74689">
        <w:rPr>
          <w:rFonts w:ascii="Times New Roman" w:hAnsi="Times New Roman" w:cs="Times New Roman"/>
          <w:shd w:val="clear" w:color="auto" w:fill="FFFFFF"/>
        </w:rPr>
        <w:t xml:space="preserve">(2), </w:t>
      </w:r>
      <w:r w:rsidRPr="00F74689">
        <w:rPr>
          <w:rFonts w:ascii="Times New Roman" w:hAnsi="Times New Roman" w:cs="Times New Roman"/>
          <w:shd w:val="clear" w:color="auto" w:fill="FFFFFF"/>
        </w:rPr>
        <w:t xml:space="preserve">184-197. </w:t>
      </w:r>
      <w:hyperlink r:id="rId16" w:history="1">
        <w:r w:rsidRPr="00F74689">
          <w:rPr>
            <w:rStyle w:val="Hyperlink"/>
            <w:rFonts w:ascii="Times New Roman" w:hAnsi="Times New Roman" w:cs="Times New Roman"/>
            <w:color w:val="auto"/>
            <w:shd w:val="clear" w:color="auto" w:fill="FFFFFF"/>
          </w:rPr>
          <w:t>https://doi.org/10.1177/1046878107310607</w:t>
        </w:r>
      </w:hyperlink>
    </w:p>
    <w:p w:rsidR="00114C76"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color w:val="000000"/>
          <w:shd w:val="clear" w:color="auto" w:fill="FFFFFF"/>
        </w:rPr>
        <w:t>Sheldon, P. (2017). Successful Intermittent Self-Catheterization Teaching: One Nurse's Strategy of How and What to Teach. </w:t>
      </w:r>
      <w:r w:rsidRPr="00F74689">
        <w:rPr>
          <w:rFonts w:ascii="Times New Roman" w:hAnsi="Times New Roman" w:cs="Times New Roman"/>
          <w:i/>
          <w:iCs/>
          <w:color w:val="000000"/>
          <w:shd w:val="clear" w:color="auto" w:fill="FFFFFF"/>
        </w:rPr>
        <w:t>Urologic Nursing</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33</w:t>
      </w:r>
      <w:r w:rsidRPr="00F74689">
        <w:rPr>
          <w:rFonts w:ascii="Times New Roman" w:hAnsi="Times New Roman" w:cs="Times New Roman"/>
          <w:color w:val="000000"/>
          <w:shd w:val="clear" w:color="auto" w:fill="FFFFFF"/>
        </w:rPr>
        <w:t>(3), 113. https://doi.org/10.7257/1053-816x.2013.33.3.113</w:t>
      </w:r>
    </w:p>
    <w:p w:rsidR="000412CD"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Tongchai, N. (2016). Impact of Self-Regulation and Open Learner Model on Learning Achievement in Blended Learning Environment. </w:t>
      </w:r>
      <w:r w:rsidRPr="00F74689">
        <w:rPr>
          <w:rFonts w:ascii="Times New Roman" w:hAnsi="Times New Roman" w:cs="Times New Roman"/>
          <w:i/>
          <w:iCs/>
          <w:shd w:val="clear" w:color="auto" w:fill="FFFFFF"/>
        </w:rPr>
        <w:t xml:space="preserve">International 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Information </w:t>
      </w:r>
      <w:r w:rsidR="00C63B43" w:rsidRPr="00F74689">
        <w:rPr>
          <w:rFonts w:ascii="Times New Roman" w:hAnsi="Times New Roman" w:cs="Times New Roman"/>
          <w:i/>
          <w:iCs/>
          <w:shd w:val="clear" w:color="auto" w:fill="FFFFFF"/>
        </w:rPr>
        <w:t>and</w:t>
      </w:r>
      <w:r w:rsidRPr="00F74689">
        <w:rPr>
          <w:rFonts w:ascii="Times New Roman" w:hAnsi="Times New Roman" w:cs="Times New Roman"/>
          <w:i/>
          <w:iCs/>
          <w:shd w:val="clear" w:color="auto" w:fill="FFFFFF"/>
        </w:rPr>
        <w:t xml:space="preserve"> Education Technology</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6</w:t>
      </w:r>
      <w:r w:rsidRPr="00F74689">
        <w:rPr>
          <w:rFonts w:ascii="Times New Roman" w:hAnsi="Times New Roman" w:cs="Times New Roman"/>
          <w:shd w:val="clear" w:color="auto" w:fill="FFFFFF"/>
        </w:rPr>
        <w:t xml:space="preserve">(5), 343-347. </w:t>
      </w:r>
      <w:hyperlink r:id="rId17" w:history="1">
        <w:r w:rsidRPr="00F74689">
          <w:rPr>
            <w:rStyle w:val="Hyperlink"/>
            <w:rFonts w:ascii="Times New Roman" w:hAnsi="Times New Roman" w:cs="Times New Roman"/>
            <w:color w:val="auto"/>
            <w:shd w:val="clear" w:color="auto" w:fill="FFFFFF"/>
          </w:rPr>
          <w:t>https://doi.org/10.7763/ijiet.2016.v6.711</w:t>
        </w:r>
      </w:hyperlink>
    </w:p>
    <w:sectPr w:rsidR="000412CD" w:rsidRPr="00F74689" w:rsidSect="00D827BC">
      <w:head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A2E" w:rsidRDefault="00044A2E">
      <w:pPr>
        <w:spacing w:after="0" w:line="240" w:lineRule="auto"/>
      </w:pPr>
      <w:r>
        <w:separator/>
      </w:r>
    </w:p>
  </w:endnote>
  <w:endnote w:type="continuationSeparator" w:id="0">
    <w:p w:rsidR="00044A2E" w:rsidRDefault="0004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A2E" w:rsidRDefault="00044A2E">
      <w:pPr>
        <w:spacing w:after="0" w:line="240" w:lineRule="auto"/>
      </w:pPr>
      <w:r>
        <w:separator/>
      </w:r>
    </w:p>
  </w:footnote>
  <w:footnote w:type="continuationSeparator" w:id="0">
    <w:p w:rsidR="00044A2E" w:rsidRDefault="00044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962AFF" w:rsidTr="00423EFD">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044A2E"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721CDC">
            <w:rPr>
              <w:rFonts w:ascii="Times New Roman" w:hAnsi="Times New Roman" w:cs="Times New Roman"/>
              <w:noProof/>
            </w:rPr>
            <w:t>2</w:t>
          </w:r>
          <w:r w:rsidRPr="00D827BC">
            <w:rPr>
              <w:rFonts w:ascii="Times New Roman" w:hAnsi="Times New Roman" w:cs="Times New Roman"/>
            </w:rPr>
            <w:fldChar w:fldCharType="end"/>
          </w:r>
        </w:p>
      </w:tc>
    </w:tr>
  </w:tbl>
  <w:p w:rsidR="00D827BC" w:rsidRDefault="00D827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962AFF" w:rsidTr="00D827BC">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044A2E"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3C32B0">
            <w:rPr>
              <w:rFonts w:ascii="Times New Roman" w:hAnsi="Times New Roman" w:cs="Times New Roman"/>
              <w:noProof/>
            </w:rPr>
            <w:t>1</w:t>
          </w:r>
          <w:r w:rsidRPr="00D827BC">
            <w:rPr>
              <w:rFonts w:ascii="Times New Roman" w:hAnsi="Times New Roman" w:cs="Times New Roman"/>
            </w:rPr>
            <w:fldChar w:fldCharType="end"/>
          </w:r>
        </w:p>
      </w:tc>
    </w:tr>
  </w:tbl>
  <w:p w:rsidR="00D827BC" w:rsidRDefault="00D827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11EE1F0C">
      <w:start w:val="1"/>
      <w:numFmt w:val="bullet"/>
      <w:lvlText w:val=""/>
      <w:lvlJc w:val="left"/>
      <w:pPr>
        <w:ind w:left="720" w:hanging="360"/>
      </w:pPr>
      <w:rPr>
        <w:rFonts w:ascii="Symbol" w:hAnsi="Symbol" w:hint="default"/>
      </w:rPr>
    </w:lvl>
    <w:lvl w:ilvl="1" w:tplc="925EBE36" w:tentative="1">
      <w:start w:val="1"/>
      <w:numFmt w:val="bullet"/>
      <w:lvlText w:val="o"/>
      <w:lvlJc w:val="left"/>
      <w:pPr>
        <w:ind w:left="1440" w:hanging="360"/>
      </w:pPr>
      <w:rPr>
        <w:rFonts w:ascii="Courier New" w:hAnsi="Courier New" w:cs="Courier New" w:hint="default"/>
      </w:rPr>
    </w:lvl>
    <w:lvl w:ilvl="2" w:tplc="C30C3C54" w:tentative="1">
      <w:start w:val="1"/>
      <w:numFmt w:val="bullet"/>
      <w:lvlText w:val=""/>
      <w:lvlJc w:val="left"/>
      <w:pPr>
        <w:ind w:left="2160" w:hanging="360"/>
      </w:pPr>
      <w:rPr>
        <w:rFonts w:ascii="Wingdings" w:hAnsi="Wingdings" w:hint="default"/>
      </w:rPr>
    </w:lvl>
    <w:lvl w:ilvl="3" w:tplc="C526BD34" w:tentative="1">
      <w:start w:val="1"/>
      <w:numFmt w:val="bullet"/>
      <w:lvlText w:val=""/>
      <w:lvlJc w:val="left"/>
      <w:pPr>
        <w:ind w:left="2880" w:hanging="360"/>
      </w:pPr>
      <w:rPr>
        <w:rFonts w:ascii="Symbol" w:hAnsi="Symbol" w:hint="default"/>
      </w:rPr>
    </w:lvl>
    <w:lvl w:ilvl="4" w:tplc="0C0C7218" w:tentative="1">
      <w:start w:val="1"/>
      <w:numFmt w:val="bullet"/>
      <w:lvlText w:val="o"/>
      <w:lvlJc w:val="left"/>
      <w:pPr>
        <w:ind w:left="3600" w:hanging="360"/>
      </w:pPr>
      <w:rPr>
        <w:rFonts w:ascii="Courier New" w:hAnsi="Courier New" w:cs="Courier New" w:hint="default"/>
      </w:rPr>
    </w:lvl>
    <w:lvl w:ilvl="5" w:tplc="9EC45302" w:tentative="1">
      <w:start w:val="1"/>
      <w:numFmt w:val="bullet"/>
      <w:lvlText w:val=""/>
      <w:lvlJc w:val="left"/>
      <w:pPr>
        <w:ind w:left="4320" w:hanging="360"/>
      </w:pPr>
      <w:rPr>
        <w:rFonts w:ascii="Wingdings" w:hAnsi="Wingdings" w:hint="default"/>
      </w:rPr>
    </w:lvl>
    <w:lvl w:ilvl="6" w:tplc="F6B082C2" w:tentative="1">
      <w:start w:val="1"/>
      <w:numFmt w:val="bullet"/>
      <w:lvlText w:val=""/>
      <w:lvlJc w:val="left"/>
      <w:pPr>
        <w:ind w:left="5040" w:hanging="360"/>
      </w:pPr>
      <w:rPr>
        <w:rFonts w:ascii="Symbol" w:hAnsi="Symbol" w:hint="default"/>
      </w:rPr>
    </w:lvl>
    <w:lvl w:ilvl="7" w:tplc="B726E52A" w:tentative="1">
      <w:start w:val="1"/>
      <w:numFmt w:val="bullet"/>
      <w:lvlText w:val="o"/>
      <w:lvlJc w:val="left"/>
      <w:pPr>
        <w:ind w:left="5760" w:hanging="360"/>
      </w:pPr>
      <w:rPr>
        <w:rFonts w:ascii="Courier New" w:hAnsi="Courier New" w:cs="Courier New" w:hint="default"/>
      </w:rPr>
    </w:lvl>
    <w:lvl w:ilvl="8" w:tplc="358CBFF6"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0MLAwMbG0NDEzNTBW0lEKTi0uzszPAykwrgUAVcJweywAAAA="/>
  </w:docVars>
  <w:rsids>
    <w:rsidRoot w:val="00344139"/>
    <w:rsid w:val="00014C52"/>
    <w:rsid w:val="00015FDF"/>
    <w:rsid w:val="000410CA"/>
    <w:rsid w:val="000412CD"/>
    <w:rsid w:val="00044A2E"/>
    <w:rsid w:val="00046D1C"/>
    <w:rsid w:val="000578F0"/>
    <w:rsid w:val="00060BCB"/>
    <w:rsid w:val="00066721"/>
    <w:rsid w:val="00070AC0"/>
    <w:rsid w:val="00072193"/>
    <w:rsid w:val="000751C8"/>
    <w:rsid w:val="00093BAF"/>
    <w:rsid w:val="000B516D"/>
    <w:rsid w:val="000E141E"/>
    <w:rsid w:val="00110B80"/>
    <w:rsid w:val="00114C76"/>
    <w:rsid w:val="00141701"/>
    <w:rsid w:val="0014693C"/>
    <w:rsid w:val="00155551"/>
    <w:rsid w:val="001768B2"/>
    <w:rsid w:val="0018416E"/>
    <w:rsid w:val="00191C45"/>
    <w:rsid w:val="001C00D2"/>
    <w:rsid w:val="001C72F4"/>
    <w:rsid w:val="001E3588"/>
    <w:rsid w:val="0025660D"/>
    <w:rsid w:val="00264A54"/>
    <w:rsid w:val="00271800"/>
    <w:rsid w:val="002B73F4"/>
    <w:rsid w:val="002F66AB"/>
    <w:rsid w:val="003045F0"/>
    <w:rsid w:val="003236E0"/>
    <w:rsid w:val="0033564B"/>
    <w:rsid w:val="00344139"/>
    <w:rsid w:val="0034536C"/>
    <w:rsid w:val="003468ED"/>
    <w:rsid w:val="00352811"/>
    <w:rsid w:val="00366CB7"/>
    <w:rsid w:val="003C15D3"/>
    <w:rsid w:val="003C32B0"/>
    <w:rsid w:val="003F4061"/>
    <w:rsid w:val="00410945"/>
    <w:rsid w:val="00426AFD"/>
    <w:rsid w:val="00436012"/>
    <w:rsid w:val="00436709"/>
    <w:rsid w:val="00452707"/>
    <w:rsid w:val="00464244"/>
    <w:rsid w:val="0049546C"/>
    <w:rsid w:val="004E51C8"/>
    <w:rsid w:val="00515B0F"/>
    <w:rsid w:val="00526FAE"/>
    <w:rsid w:val="00543AF5"/>
    <w:rsid w:val="00550AEE"/>
    <w:rsid w:val="0056226C"/>
    <w:rsid w:val="0057010B"/>
    <w:rsid w:val="00574546"/>
    <w:rsid w:val="00581E0F"/>
    <w:rsid w:val="0059177A"/>
    <w:rsid w:val="00595932"/>
    <w:rsid w:val="0059624C"/>
    <w:rsid w:val="005A4C86"/>
    <w:rsid w:val="005B2F3C"/>
    <w:rsid w:val="005B3774"/>
    <w:rsid w:val="005C0B75"/>
    <w:rsid w:val="005E6490"/>
    <w:rsid w:val="005F1B2C"/>
    <w:rsid w:val="0060211F"/>
    <w:rsid w:val="0060616A"/>
    <w:rsid w:val="00606487"/>
    <w:rsid w:val="006246D3"/>
    <w:rsid w:val="006402CA"/>
    <w:rsid w:val="006665BA"/>
    <w:rsid w:val="006E2AF4"/>
    <w:rsid w:val="00705688"/>
    <w:rsid w:val="00721CDC"/>
    <w:rsid w:val="007541FE"/>
    <w:rsid w:val="007720EB"/>
    <w:rsid w:val="007A751F"/>
    <w:rsid w:val="007B3F41"/>
    <w:rsid w:val="007C3F2B"/>
    <w:rsid w:val="007D4381"/>
    <w:rsid w:val="007E3E12"/>
    <w:rsid w:val="007F08E0"/>
    <w:rsid w:val="007F4453"/>
    <w:rsid w:val="0082165C"/>
    <w:rsid w:val="00827659"/>
    <w:rsid w:val="00833196"/>
    <w:rsid w:val="00833546"/>
    <w:rsid w:val="008B7AFB"/>
    <w:rsid w:val="008D69EB"/>
    <w:rsid w:val="008F28D2"/>
    <w:rsid w:val="0091377E"/>
    <w:rsid w:val="00913CFA"/>
    <w:rsid w:val="00923BD9"/>
    <w:rsid w:val="00925B63"/>
    <w:rsid w:val="00962AFF"/>
    <w:rsid w:val="00992101"/>
    <w:rsid w:val="009A2468"/>
    <w:rsid w:val="009B6150"/>
    <w:rsid w:val="009C1D36"/>
    <w:rsid w:val="00A00C2F"/>
    <w:rsid w:val="00A05DE4"/>
    <w:rsid w:val="00A433FD"/>
    <w:rsid w:val="00A51C51"/>
    <w:rsid w:val="00A85767"/>
    <w:rsid w:val="00A85ED3"/>
    <w:rsid w:val="00AC219E"/>
    <w:rsid w:val="00AC6F5C"/>
    <w:rsid w:val="00AE5A80"/>
    <w:rsid w:val="00AF49A6"/>
    <w:rsid w:val="00B17587"/>
    <w:rsid w:val="00B17C7E"/>
    <w:rsid w:val="00B44536"/>
    <w:rsid w:val="00B57687"/>
    <w:rsid w:val="00B65FD0"/>
    <w:rsid w:val="00B93A07"/>
    <w:rsid w:val="00BB48FC"/>
    <w:rsid w:val="00BF636C"/>
    <w:rsid w:val="00C35198"/>
    <w:rsid w:val="00C50329"/>
    <w:rsid w:val="00C61738"/>
    <w:rsid w:val="00C63B43"/>
    <w:rsid w:val="00C74042"/>
    <w:rsid w:val="00CA6D8F"/>
    <w:rsid w:val="00CB7627"/>
    <w:rsid w:val="00CF2BC0"/>
    <w:rsid w:val="00D57E03"/>
    <w:rsid w:val="00D6506F"/>
    <w:rsid w:val="00D827BC"/>
    <w:rsid w:val="00DA3E6E"/>
    <w:rsid w:val="00DB09B1"/>
    <w:rsid w:val="00DB3BC5"/>
    <w:rsid w:val="00DD4AAB"/>
    <w:rsid w:val="00DD6C0B"/>
    <w:rsid w:val="00DE3751"/>
    <w:rsid w:val="00DF20E1"/>
    <w:rsid w:val="00E213BD"/>
    <w:rsid w:val="00E22E6D"/>
    <w:rsid w:val="00E8711C"/>
    <w:rsid w:val="00EA4684"/>
    <w:rsid w:val="00ED18DF"/>
    <w:rsid w:val="00ED4C6A"/>
    <w:rsid w:val="00ED76BD"/>
    <w:rsid w:val="00EF445E"/>
    <w:rsid w:val="00F1162A"/>
    <w:rsid w:val="00F2540F"/>
    <w:rsid w:val="00F74689"/>
    <w:rsid w:val="00F84785"/>
    <w:rsid w:val="00F85F7C"/>
    <w:rsid w:val="00FA1752"/>
    <w:rsid w:val="00FC369A"/>
    <w:rsid w:val="00FD21F9"/>
    <w:rsid w:val="00FD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2F5F"/>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after="0"/>
    </w:pPr>
    <w:rPr>
      <w:rFonts w:ascii="Times New Roman" w:hAnsi="Times New Roman"/>
      <w:sz w:val="24"/>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7BC"/>
  </w:style>
  <w:style w:type="character" w:customStyle="1" w:styleId="UnresolvedMention">
    <w:name w:val="Unresolved Mention"/>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4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E5A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46878107310607" TargetMode="External"/><Relationship Id="rId13" Type="http://schemas.openxmlformats.org/officeDocument/2006/relationships/hyperlink" Target="https://doi.org/10.1016/j.nepr.2011.09.00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11/j.1447-0349.2011.00755.x" TargetMode="External"/><Relationship Id="rId17" Type="http://schemas.openxmlformats.org/officeDocument/2006/relationships/hyperlink" Target="https://doi.org/10.7763/ijiet.2016.v6.711" TargetMode="External"/><Relationship Id="rId2" Type="http://schemas.openxmlformats.org/officeDocument/2006/relationships/numbering" Target="numbering.xml"/><Relationship Id="rId16" Type="http://schemas.openxmlformats.org/officeDocument/2006/relationships/hyperlink" Target="https://doi.org/10.1177/10468781073106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14/ajr.10.6107" TargetMode="External"/><Relationship Id="rId5" Type="http://schemas.openxmlformats.org/officeDocument/2006/relationships/webSettings" Target="webSettings.xml"/><Relationship Id="rId15" Type="http://schemas.openxmlformats.org/officeDocument/2006/relationships/hyperlink" Target="https://doi.org/10.1016/j.teln.2017.08.002" TargetMode="External"/><Relationship Id="rId10" Type="http://schemas.openxmlformats.org/officeDocument/2006/relationships/hyperlink" Target="https://doi.org/10.1111/jep.1230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111/dsji.12058" TargetMode="External"/><Relationship Id="rId14" Type="http://schemas.openxmlformats.org/officeDocument/2006/relationships/hyperlink" Target="https://doi.org/10.30598/tahurivol17issue2page6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F583B-1C21-4331-9A9B-AFF9835C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4011</Words>
  <Characters>22865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User</cp:lastModifiedBy>
  <cp:revision>2</cp:revision>
  <dcterms:created xsi:type="dcterms:W3CDTF">2021-09-07T20:55:00Z</dcterms:created>
  <dcterms:modified xsi:type="dcterms:W3CDTF">2021-09-07T20:55:00Z</dcterms:modified>
</cp:coreProperties>
</file>